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7531" w:rsidRPr="006447CB" w:rsidRDefault="00C17531" w:rsidP="00C17531">
      <w:pPr>
        <w:pStyle w:val="Cmsor1"/>
        <w:jc w:val="center"/>
        <w:rPr>
          <w:color w:val="auto"/>
          <w:spacing w:val="60"/>
          <w:sz w:val="32"/>
          <w:szCs w:val="32"/>
        </w:rPr>
      </w:pPr>
      <w:r w:rsidRPr="006447CB">
        <w:rPr>
          <w:color w:val="auto"/>
          <w:spacing w:val="60"/>
          <w:sz w:val="32"/>
          <w:szCs w:val="32"/>
        </w:rPr>
        <w:t>ELŐTERJESZTÉS</w:t>
      </w:r>
    </w:p>
    <w:p w:rsidR="00C17531" w:rsidRDefault="00C17531" w:rsidP="00C17531">
      <w:pPr>
        <w:jc w:val="center"/>
        <w:rPr>
          <w:rFonts w:ascii="Cambria" w:hAnsi="Cambria"/>
          <w:b/>
        </w:rPr>
      </w:pPr>
    </w:p>
    <w:p w:rsidR="00C17531" w:rsidRDefault="00C17531" w:rsidP="00C17531">
      <w:pPr>
        <w:jc w:val="center"/>
        <w:rPr>
          <w:rFonts w:ascii="Cambria" w:hAnsi="Cambria"/>
          <w:b/>
        </w:rPr>
      </w:pPr>
    </w:p>
    <w:p w:rsidR="00C17531" w:rsidRDefault="00C17531" w:rsidP="00C17531">
      <w:pPr>
        <w:jc w:val="center"/>
        <w:rPr>
          <w:rFonts w:ascii="Cambria" w:hAnsi="Cambria"/>
          <w:b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19050" t="0" r="0" b="0"/>
            <wp:wrapTopAndBottom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17531" w:rsidRDefault="00C17531" w:rsidP="00C17531">
      <w:pPr>
        <w:jc w:val="center"/>
        <w:rPr>
          <w:rFonts w:ascii="Cambria" w:hAnsi="Cambria"/>
          <w:b/>
        </w:rPr>
      </w:pPr>
    </w:p>
    <w:p w:rsidR="00C17531" w:rsidRDefault="00C17531" w:rsidP="00C17531">
      <w:pPr>
        <w:jc w:val="center"/>
        <w:rPr>
          <w:rFonts w:ascii="Cambria" w:hAnsi="Cambria"/>
          <w:b/>
        </w:rPr>
      </w:pPr>
    </w:p>
    <w:p w:rsidR="007C5CEC" w:rsidRDefault="007C5CEC" w:rsidP="00C17531">
      <w:pPr>
        <w:jc w:val="center"/>
        <w:rPr>
          <w:rFonts w:ascii="Cambria" w:hAnsi="Cambria"/>
          <w:b/>
        </w:rPr>
      </w:pPr>
    </w:p>
    <w:p w:rsidR="00C17531" w:rsidRPr="006447CB" w:rsidRDefault="00C17531" w:rsidP="00C17531">
      <w:pPr>
        <w:jc w:val="center"/>
        <w:rPr>
          <w:rFonts w:ascii="Cambria" w:hAnsi="Cambria"/>
          <w:b/>
          <w:sz w:val="22"/>
          <w:szCs w:val="22"/>
        </w:rPr>
      </w:pPr>
    </w:p>
    <w:p w:rsidR="00C17531" w:rsidRPr="002304F8" w:rsidRDefault="00C17531" w:rsidP="00C17531">
      <w:pPr>
        <w:jc w:val="center"/>
        <w:rPr>
          <w:b/>
          <w:sz w:val="22"/>
          <w:szCs w:val="22"/>
        </w:rPr>
      </w:pPr>
      <w:r w:rsidRPr="002304F8">
        <w:rPr>
          <w:b/>
          <w:sz w:val="22"/>
          <w:szCs w:val="22"/>
        </w:rPr>
        <w:t>BALATONMÁRIAFÜRDŐ KÖZSÉG</w:t>
      </w:r>
    </w:p>
    <w:p w:rsidR="00C17531" w:rsidRPr="002304F8" w:rsidRDefault="00C17531" w:rsidP="00C17531">
      <w:pPr>
        <w:jc w:val="center"/>
        <w:rPr>
          <w:b/>
          <w:sz w:val="22"/>
          <w:szCs w:val="22"/>
        </w:rPr>
      </w:pPr>
      <w:r w:rsidRPr="002304F8">
        <w:rPr>
          <w:b/>
          <w:sz w:val="22"/>
          <w:szCs w:val="22"/>
        </w:rPr>
        <w:t>ÖNKORMÁNYZAT</w:t>
      </w:r>
    </w:p>
    <w:p w:rsidR="00C17531" w:rsidRPr="002304F8" w:rsidRDefault="00C17531" w:rsidP="00C17531">
      <w:pPr>
        <w:pStyle w:val="Cmsor2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304F8">
        <w:rPr>
          <w:rFonts w:ascii="Times New Roman" w:hAnsi="Times New Roman" w:cs="Times New Roman"/>
          <w:color w:val="auto"/>
          <w:sz w:val="22"/>
          <w:szCs w:val="22"/>
        </w:rPr>
        <w:t>KÉPVISELŐ-TESTÜLETÉNEK</w:t>
      </w:r>
    </w:p>
    <w:p w:rsidR="00C17531" w:rsidRPr="002304F8" w:rsidRDefault="00C17531" w:rsidP="00C17531">
      <w:pPr>
        <w:pStyle w:val="Cmsor7"/>
        <w:spacing w:before="0"/>
        <w:rPr>
          <w:rFonts w:ascii="Times New Roman" w:hAnsi="Times New Roman" w:cs="Times New Roman"/>
          <w:b/>
          <w:i w:val="0"/>
          <w:color w:val="auto"/>
          <w:sz w:val="22"/>
          <w:szCs w:val="22"/>
        </w:rPr>
      </w:pPr>
    </w:p>
    <w:p w:rsidR="00C17531" w:rsidRDefault="00C17531" w:rsidP="00C17531">
      <w:pPr>
        <w:jc w:val="center"/>
        <w:rPr>
          <w:rFonts w:ascii="Cambria" w:hAnsi="Cambria"/>
          <w:sz w:val="22"/>
          <w:szCs w:val="22"/>
        </w:rPr>
      </w:pPr>
    </w:p>
    <w:p w:rsidR="007C5CEC" w:rsidRPr="006447CB" w:rsidRDefault="007C5CEC" w:rsidP="00C17531">
      <w:pPr>
        <w:jc w:val="center"/>
        <w:rPr>
          <w:rFonts w:ascii="Cambria" w:hAnsi="Cambria"/>
          <w:sz w:val="22"/>
          <w:szCs w:val="22"/>
        </w:rPr>
      </w:pPr>
    </w:p>
    <w:p w:rsidR="00C17531" w:rsidRPr="006447CB" w:rsidRDefault="00C17531" w:rsidP="00C17531">
      <w:pPr>
        <w:jc w:val="center"/>
        <w:rPr>
          <w:rFonts w:ascii="Cambria" w:hAnsi="Cambria"/>
          <w:b/>
          <w:sz w:val="22"/>
          <w:szCs w:val="22"/>
        </w:rPr>
      </w:pPr>
    </w:p>
    <w:p w:rsidR="00C17531" w:rsidRPr="006447CB" w:rsidRDefault="00C17531" w:rsidP="00C17531">
      <w:pPr>
        <w:pStyle w:val="FCm"/>
        <w:keepNext w:val="0"/>
        <w:keepLines w:val="0"/>
        <w:spacing w:before="0" w:after="0"/>
        <w:rPr>
          <w:rFonts w:ascii="Cambria" w:hAnsi="Cambria"/>
          <w:sz w:val="22"/>
          <w:szCs w:val="22"/>
        </w:rPr>
      </w:pPr>
      <w:r>
        <w:rPr>
          <w:rFonts w:ascii="Cambria" w:hAnsi="Cambria"/>
          <w:caps/>
          <w:sz w:val="22"/>
          <w:szCs w:val="22"/>
        </w:rPr>
        <w:t xml:space="preserve">2018. </w:t>
      </w:r>
      <w:r w:rsidR="007C5CEC">
        <w:rPr>
          <w:rFonts w:ascii="Cambria" w:hAnsi="Cambria"/>
          <w:caps/>
          <w:sz w:val="22"/>
          <w:szCs w:val="22"/>
        </w:rPr>
        <w:t xml:space="preserve">JÚLIUS 5-EI RENDKÍVÜLI, </w:t>
      </w:r>
      <w:r>
        <w:rPr>
          <w:rFonts w:ascii="Cambria" w:hAnsi="Cambria"/>
          <w:caps/>
          <w:sz w:val="22"/>
          <w:szCs w:val="22"/>
        </w:rPr>
        <w:t xml:space="preserve"> nyilvános</w:t>
      </w:r>
      <w:r w:rsidRPr="006447CB">
        <w:rPr>
          <w:rFonts w:ascii="Cambria" w:hAnsi="Cambria"/>
          <w:sz w:val="22"/>
          <w:szCs w:val="22"/>
        </w:rPr>
        <w:t xml:space="preserve"> ÜLÉSÉRE</w:t>
      </w:r>
    </w:p>
    <w:p w:rsidR="00C17531" w:rsidRPr="006447CB" w:rsidRDefault="00C17531" w:rsidP="00C17531">
      <w:pPr>
        <w:jc w:val="center"/>
        <w:rPr>
          <w:rFonts w:ascii="Cambria" w:hAnsi="Cambria"/>
          <w:b/>
          <w:sz w:val="22"/>
          <w:szCs w:val="22"/>
        </w:rPr>
      </w:pPr>
    </w:p>
    <w:p w:rsidR="00C17531" w:rsidRDefault="00C17531" w:rsidP="00C17531">
      <w:pPr>
        <w:jc w:val="center"/>
        <w:rPr>
          <w:rFonts w:ascii="Cambria" w:hAnsi="Cambria"/>
          <w:b/>
        </w:rPr>
      </w:pPr>
    </w:p>
    <w:p w:rsidR="007C5CEC" w:rsidRDefault="007C5CEC" w:rsidP="00C17531">
      <w:pPr>
        <w:jc w:val="center"/>
        <w:rPr>
          <w:rFonts w:ascii="Cambria" w:hAnsi="Cambria"/>
          <w:b/>
        </w:rPr>
      </w:pPr>
    </w:p>
    <w:p w:rsidR="00C17531" w:rsidRPr="006447CB" w:rsidRDefault="00C17531" w:rsidP="00C17531">
      <w:pPr>
        <w:jc w:val="center"/>
        <w:rPr>
          <w:rFonts w:ascii="Cambria" w:hAnsi="Cambria"/>
          <w:b/>
          <w:sz w:val="22"/>
          <w:szCs w:val="22"/>
        </w:rPr>
      </w:pPr>
      <w:r w:rsidRPr="006447CB">
        <w:rPr>
          <w:rFonts w:ascii="Cambria" w:hAnsi="Cambria"/>
          <w:b/>
          <w:sz w:val="22"/>
          <w:szCs w:val="22"/>
        </w:rPr>
        <w:t>TÁRGY:</w:t>
      </w:r>
    </w:p>
    <w:p w:rsidR="00C17531" w:rsidRPr="006447CB" w:rsidRDefault="00C17531" w:rsidP="00C17531">
      <w:pPr>
        <w:jc w:val="center"/>
        <w:rPr>
          <w:rFonts w:ascii="Cambria" w:hAnsi="Cambria"/>
          <w:b/>
          <w:sz w:val="22"/>
          <w:szCs w:val="22"/>
        </w:rPr>
      </w:pPr>
    </w:p>
    <w:p w:rsidR="00C17531" w:rsidRPr="006447CB" w:rsidRDefault="00C17531" w:rsidP="00C17531">
      <w:pPr>
        <w:jc w:val="center"/>
        <w:rPr>
          <w:rFonts w:ascii="Cambria" w:hAnsi="Cambria"/>
          <w:b/>
          <w:caps/>
          <w:sz w:val="22"/>
          <w:szCs w:val="22"/>
        </w:rPr>
      </w:pPr>
      <w:r>
        <w:rPr>
          <w:rFonts w:ascii="Cambria" w:hAnsi="Cambria"/>
          <w:b/>
          <w:caps/>
        </w:rPr>
        <w:t>önkormányzati elővásárlási jog gyakorlása</w:t>
      </w:r>
    </w:p>
    <w:p w:rsidR="00C17531" w:rsidRPr="006447CB" w:rsidRDefault="00C17531" w:rsidP="00C17531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C17531" w:rsidRPr="006447CB" w:rsidRDefault="00C17531" w:rsidP="00C17531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C17531" w:rsidRPr="006447CB" w:rsidRDefault="00C17531" w:rsidP="00C17531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C17531" w:rsidRPr="006447CB" w:rsidRDefault="00C17531" w:rsidP="00C17531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C17531" w:rsidRPr="006447CB" w:rsidRDefault="00C17531" w:rsidP="00C17531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C17531" w:rsidRDefault="00C17531" w:rsidP="00C17531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7C5CEC" w:rsidRDefault="007C5CEC" w:rsidP="00C17531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7C5CEC" w:rsidRDefault="007C5CEC" w:rsidP="00C17531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7C5CEC" w:rsidRDefault="007C5CEC" w:rsidP="00C17531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7C5CEC" w:rsidRDefault="007C5CEC" w:rsidP="00C17531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7C5CEC" w:rsidRPr="006447CB" w:rsidRDefault="007C5CEC" w:rsidP="00C17531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C17531" w:rsidRPr="006447CB" w:rsidRDefault="00C17531" w:rsidP="00C17531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C17531" w:rsidRPr="006447CB" w:rsidRDefault="00C17531" w:rsidP="00C17531">
      <w:pPr>
        <w:jc w:val="center"/>
        <w:rPr>
          <w:rFonts w:ascii="Cambria" w:hAnsi="Cambria"/>
          <w:b/>
          <w:caps/>
          <w:sz w:val="22"/>
          <w:szCs w:val="22"/>
        </w:rPr>
      </w:pPr>
    </w:p>
    <w:p w:rsidR="00C17531" w:rsidRDefault="00C17531" w:rsidP="00C17531">
      <w:pPr>
        <w:jc w:val="center"/>
        <w:rPr>
          <w:rFonts w:ascii="Cambria" w:hAnsi="Cambria"/>
          <w:b/>
        </w:rPr>
      </w:pPr>
      <w:r w:rsidRPr="006447CB">
        <w:rPr>
          <w:rFonts w:ascii="Cambria" w:hAnsi="Cambria"/>
          <w:b/>
          <w:sz w:val="22"/>
          <w:szCs w:val="22"/>
        </w:rPr>
        <w:t>ELŐADÓ:</w:t>
      </w:r>
    </w:p>
    <w:p w:rsidR="00C17531" w:rsidRPr="006447CB" w:rsidRDefault="00C17531" w:rsidP="00C17531">
      <w:pPr>
        <w:jc w:val="center"/>
        <w:rPr>
          <w:rFonts w:ascii="Cambria" w:hAnsi="Cambria"/>
          <w:b/>
          <w:sz w:val="22"/>
          <w:szCs w:val="22"/>
        </w:rPr>
      </w:pPr>
    </w:p>
    <w:p w:rsidR="00C17531" w:rsidRPr="002304F8" w:rsidRDefault="00C17531" w:rsidP="00C17531">
      <w:pPr>
        <w:jc w:val="center"/>
        <w:rPr>
          <w:b/>
          <w:sz w:val="22"/>
          <w:szCs w:val="22"/>
        </w:rPr>
      </w:pPr>
      <w:r w:rsidRPr="002304F8">
        <w:rPr>
          <w:b/>
          <w:sz w:val="22"/>
          <w:szCs w:val="22"/>
        </w:rPr>
        <w:t>GALÁCZ GYÖRGY</w:t>
      </w:r>
    </w:p>
    <w:p w:rsidR="00C17531" w:rsidRPr="002304F8" w:rsidRDefault="00C17531" w:rsidP="00C17531">
      <w:pPr>
        <w:pStyle w:val="Cmsor2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304F8">
        <w:rPr>
          <w:rFonts w:ascii="Times New Roman" w:hAnsi="Times New Roman" w:cs="Times New Roman"/>
          <w:bCs w:val="0"/>
          <w:caps/>
          <w:color w:val="auto"/>
          <w:sz w:val="22"/>
          <w:szCs w:val="22"/>
        </w:rPr>
        <w:t>POLGÁRMESTER</w:t>
      </w:r>
    </w:p>
    <w:p w:rsidR="00C17531" w:rsidRPr="006447CB" w:rsidRDefault="00C17531" w:rsidP="00C17531">
      <w:pPr>
        <w:jc w:val="center"/>
        <w:rPr>
          <w:rFonts w:ascii="Cambria" w:hAnsi="Cambria"/>
          <w:sz w:val="22"/>
          <w:szCs w:val="22"/>
        </w:rPr>
      </w:pPr>
    </w:p>
    <w:p w:rsidR="00C17531" w:rsidRDefault="00C17531" w:rsidP="00C17531">
      <w:pPr>
        <w:pStyle w:val="Cm"/>
        <w:rPr>
          <w:sz w:val="22"/>
          <w:szCs w:val="22"/>
          <w:u w:val="single"/>
        </w:rPr>
      </w:pPr>
    </w:p>
    <w:p w:rsidR="00C17531" w:rsidRDefault="00C17531" w:rsidP="00C17531">
      <w:pPr>
        <w:pStyle w:val="Cm"/>
        <w:rPr>
          <w:sz w:val="22"/>
          <w:szCs w:val="22"/>
          <w:u w:val="single"/>
        </w:rPr>
      </w:pPr>
    </w:p>
    <w:p w:rsidR="00C17531" w:rsidRDefault="00C17531" w:rsidP="00C17531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C17531" w:rsidRDefault="00C17531" w:rsidP="00C17531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C17531" w:rsidRDefault="00C17531" w:rsidP="00C17531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C17531" w:rsidRDefault="00C17531" w:rsidP="00C17531">
      <w:pPr>
        <w:pStyle w:val="Cm"/>
        <w:tabs>
          <w:tab w:val="left" w:pos="7938"/>
        </w:tabs>
        <w:rPr>
          <w:sz w:val="22"/>
          <w:szCs w:val="22"/>
          <w:u w:val="single"/>
        </w:rPr>
      </w:pPr>
    </w:p>
    <w:p w:rsidR="00C17531" w:rsidRPr="00002BF1" w:rsidRDefault="00C17531" w:rsidP="00C17531">
      <w:pPr>
        <w:pStyle w:val="Cm"/>
        <w:tabs>
          <w:tab w:val="left" w:pos="7938"/>
        </w:tabs>
        <w:rPr>
          <w:sz w:val="22"/>
          <w:szCs w:val="22"/>
          <w:u w:val="single"/>
        </w:rPr>
      </w:pPr>
      <w:r w:rsidRPr="00002BF1">
        <w:rPr>
          <w:sz w:val="22"/>
          <w:szCs w:val="22"/>
          <w:u w:val="single"/>
        </w:rPr>
        <w:t>ELŐTERJESZTÉS</w:t>
      </w:r>
    </w:p>
    <w:p w:rsidR="00C17531" w:rsidRPr="00002BF1" w:rsidRDefault="00C17531" w:rsidP="00C17531">
      <w:pPr>
        <w:tabs>
          <w:tab w:val="left" w:pos="3686"/>
          <w:tab w:val="left" w:pos="7938"/>
        </w:tabs>
        <w:rPr>
          <w:sz w:val="22"/>
          <w:szCs w:val="22"/>
        </w:rPr>
      </w:pPr>
    </w:p>
    <w:p w:rsidR="00C17531" w:rsidRPr="00002BF1" w:rsidRDefault="00C17531" w:rsidP="00C17531">
      <w:pPr>
        <w:ind w:left="900" w:hanging="900"/>
        <w:jc w:val="both"/>
        <w:rPr>
          <w:sz w:val="22"/>
          <w:szCs w:val="22"/>
        </w:rPr>
      </w:pPr>
      <w:bookmarkStart w:id="0" w:name="para85"/>
      <w:bookmarkEnd w:id="0"/>
      <w:r w:rsidRPr="00002BF1">
        <w:rPr>
          <w:b/>
          <w:sz w:val="22"/>
          <w:szCs w:val="22"/>
          <w:u w:val="single"/>
        </w:rPr>
        <w:t>Készült:</w:t>
      </w:r>
      <w:r w:rsidRPr="00002BF1">
        <w:rPr>
          <w:sz w:val="22"/>
          <w:szCs w:val="22"/>
        </w:rPr>
        <w:t xml:space="preserve"> </w:t>
      </w:r>
      <w:r>
        <w:rPr>
          <w:sz w:val="22"/>
          <w:szCs w:val="22"/>
        </w:rPr>
        <w:t>Balatonmáriafürdő</w:t>
      </w:r>
      <w:r w:rsidRPr="00002BF1">
        <w:rPr>
          <w:sz w:val="22"/>
          <w:szCs w:val="22"/>
        </w:rPr>
        <w:t xml:space="preserve"> Község Önkormányzat Képviselő-testületének </w:t>
      </w:r>
      <w:r w:rsidR="007C5CEC">
        <w:rPr>
          <w:sz w:val="22"/>
          <w:szCs w:val="22"/>
        </w:rPr>
        <w:t>2018. július 5-e</w:t>
      </w:r>
      <w:r>
        <w:rPr>
          <w:sz w:val="22"/>
          <w:szCs w:val="22"/>
        </w:rPr>
        <w:t xml:space="preserve">i </w:t>
      </w:r>
      <w:r w:rsidR="007C5CEC">
        <w:rPr>
          <w:sz w:val="22"/>
          <w:szCs w:val="22"/>
        </w:rPr>
        <w:t xml:space="preserve">rendkívüli, </w:t>
      </w:r>
      <w:r>
        <w:rPr>
          <w:sz w:val="22"/>
          <w:szCs w:val="22"/>
        </w:rPr>
        <w:t xml:space="preserve">nyilvános </w:t>
      </w:r>
      <w:r w:rsidRPr="00002BF1">
        <w:rPr>
          <w:sz w:val="22"/>
          <w:szCs w:val="22"/>
        </w:rPr>
        <w:t>testületi ülésére</w:t>
      </w:r>
    </w:p>
    <w:p w:rsidR="00C17531" w:rsidRPr="00002BF1" w:rsidRDefault="00C17531" w:rsidP="00C17531">
      <w:pPr>
        <w:ind w:left="900" w:hanging="900"/>
        <w:jc w:val="both"/>
        <w:rPr>
          <w:sz w:val="22"/>
          <w:szCs w:val="22"/>
        </w:rPr>
      </w:pPr>
    </w:p>
    <w:p w:rsidR="00C17531" w:rsidRPr="00002BF1" w:rsidRDefault="00C17531" w:rsidP="00C17531">
      <w:pPr>
        <w:ind w:left="900" w:hanging="900"/>
        <w:jc w:val="both"/>
        <w:rPr>
          <w:sz w:val="22"/>
          <w:szCs w:val="22"/>
        </w:rPr>
      </w:pPr>
      <w:r w:rsidRPr="00002BF1">
        <w:rPr>
          <w:b/>
          <w:sz w:val="22"/>
          <w:szCs w:val="22"/>
          <w:u w:val="single"/>
        </w:rPr>
        <w:t>Tárgy:</w:t>
      </w:r>
      <w:r w:rsidRPr="00002BF1">
        <w:rPr>
          <w:sz w:val="22"/>
          <w:szCs w:val="22"/>
        </w:rPr>
        <w:t xml:space="preserve"> </w:t>
      </w:r>
      <w:r w:rsidRPr="00002BF1">
        <w:rPr>
          <w:sz w:val="22"/>
          <w:szCs w:val="22"/>
        </w:rPr>
        <w:tab/>
      </w:r>
      <w:r>
        <w:rPr>
          <w:sz w:val="22"/>
          <w:szCs w:val="22"/>
        </w:rPr>
        <w:t>Balatonmáriafürdő, Vilma u. 5. számú, 106/3 hrsz. alatt felvett ingatlanon</w:t>
      </w:r>
      <w:r w:rsidRPr="00002BF1">
        <w:rPr>
          <w:sz w:val="22"/>
          <w:szCs w:val="22"/>
        </w:rPr>
        <w:t xml:space="preserve"> fennálló önkormányzati elővásárlási jog gyakorlása</w:t>
      </w:r>
    </w:p>
    <w:p w:rsidR="00C17531" w:rsidRPr="00002BF1" w:rsidRDefault="00C17531" w:rsidP="00C17531">
      <w:pPr>
        <w:ind w:left="900" w:hanging="900"/>
        <w:jc w:val="both"/>
        <w:rPr>
          <w:b/>
          <w:sz w:val="22"/>
          <w:szCs w:val="22"/>
        </w:rPr>
      </w:pPr>
    </w:p>
    <w:p w:rsidR="00C17531" w:rsidRPr="00002BF1" w:rsidRDefault="00C17531" w:rsidP="00C17531">
      <w:pPr>
        <w:tabs>
          <w:tab w:val="left" w:pos="3686"/>
        </w:tabs>
        <w:jc w:val="both"/>
        <w:rPr>
          <w:b/>
          <w:sz w:val="22"/>
          <w:szCs w:val="22"/>
        </w:rPr>
      </w:pPr>
      <w:r w:rsidRPr="00002BF1">
        <w:rPr>
          <w:b/>
          <w:sz w:val="22"/>
          <w:szCs w:val="22"/>
        </w:rPr>
        <w:t>Tisztelt Képviselő-testület!</w:t>
      </w:r>
    </w:p>
    <w:p w:rsidR="00C17531" w:rsidRDefault="00C17531" w:rsidP="00C17531">
      <w:pPr>
        <w:tabs>
          <w:tab w:val="left" w:pos="3686"/>
        </w:tabs>
        <w:jc w:val="both"/>
        <w:rPr>
          <w:sz w:val="22"/>
          <w:szCs w:val="22"/>
        </w:rPr>
      </w:pPr>
    </w:p>
    <w:p w:rsidR="00C17531" w:rsidRDefault="009A4B58" w:rsidP="009A4B58">
      <w:pPr>
        <w:jc w:val="both"/>
        <w:rPr>
          <w:sz w:val="22"/>
          <w:szCs w:val="22"/>
        </w:rPr>
      </w:pPr>
      <w:r>
        <w:rPr>
          <w:sz w:val="22"/>
          <w:szCs w:val="22"/>
        </w:rPr>
        <w:tab/>
      </w:r>
      <w:r w:rsidR="00C17531">
        <w:rPr>
          <w:sz w:val="22"/>
          <w:szCs w:val="22"/>
        </w:rPr>
        <w:t>Az elmúlt időszakban az alábbi ingatlanárverési hirdetmény érkezett hivatalunkhoz kifüggesztés, illetőleg az árverésen gyakorolható elővásárlási joggal kapcsolatos nyilatkozat megtétele céljából.</w:t>
      </w:r>
    </w:p>
    <w:p w:rsidR="00C17531" w:rsidRDefault="00C17531" w:rsidP="00C17531">
      <w:pPr>
        <w:tabs>
          <w:tab w:val="left" w:pos="709"/>
        </w:tabs>
        <w:jc w:val="both"/>
        <w:rPr>
          <w:sz w:val="22"/>
          <w:szCs w:val="22"/>
        </w:rPr>
      </w:pPr>
      <w:r w:rsidRPr="00002BF1">
        <w:rPr>
          <w:sz w:val="22"/>
          <w:szCs w:val="22"/>
        </w:rPr>
        <w:tab/>
      </w:r>
      <w:r>
        <w:rPr>
          <w:sz w:val="22"/>
          <w:szCs w:val="22"/>
        </w:rPr>
        <w:t>Dr. Vizler Dénes</w:t>
      </w:r>
      <w:r w:rsidRPr="00002BF1">
        <w:rPr>
          <w:sz w:val="22"/>
          <w:szCs w:val="22"/>
        </w:rPr>
        <w:t xml:space="preserve"> önálló bírósági végrehajtó (</w:t>
      </w:r>
      <w:r>
        <w:rPr>
          <w:sz w:val="22"/>
          <w:szCs w:val="22"/>
        </w:rPr>
        <w:t>8700 Marcali, Rákóczi u. 2-4. 1/4.)</w:t>
      </w:r>
      <w:r w:rsidRPr="00002BF1">
        <w:rPr>
          <w:sz w:val="22"/>
          <w:szCs w:val="22"/>
        </w:rPr>
        <w:t xml:space="preserve"> a</w:t>
      </w:r>
      <w:r>
        <w:rPr>
          <w:sz w:val="22"/>
          <w:szCs w:val="22"/>
        </w:rPr>
        <w:t xml:space="preserve"> Balatonkeresztúri</w:t>
      </w:r>
      <w:r w:rsidRPr="00002BF1">
        <w:rPr>
          <w:sz w:val="22"/>
          <w:szCs w:val="22"/>
        </w:rPr>
        <w:t xml:space="preserve"> </w:t>
      </w:r>
      <w:r>
        <w:rPr>
          <w:sz w:val="22"/>
          <w:szCs w:val="22"/>
        </w:rPr>
        <w:t>Közös Önkormányzati Hivatal</w:t>
      </w:r>
      <w:r w:rsidRPr="00002BF1">
        <w:rPr>
          <w:sz w:val="22"/>
          <w:szCs w:val="22"/>
        </w:rPr>
        <w:t xml:space="preserve"> részére megküldte </w:t>
      </w:r>
      <w:r>
        <w:rPr>
          <w:sz w:val="22"/>
          <w:szCs w:val="22"/>
        </w:rPr>
        <w:t>az alábbi ingatlanárverési hirdetményt: végrehajtói ügyiratszám: 0228.V.0538/2009/178., a</w:t>
      </w:r>
      <w:r w:rsidRPr="00002BF1">
        <w:rPr>
          <w:sz w:val="22"/>
          <w:szCs w:val="22"/>
        </w:rPr>
        <w:t xml:space="preserve">mely a </w:t>
      </w:r>
      <w:r>
        <w:rPr>
          <w:b/>
          <w:sz w:val="22"/>
          <w:szCs w:val="22"/>
        </w:rPr>
        <w:t xml:space="preserve">Balatonmáriafürdő, </w:t>
      </w:r>
      <w:r w:rsidR="009A4B58">
        <w:rPr>
          <w:b/>
          <w:sz w:val="22"/>
          <w:szCs w:val="22"/>
        </w:rPr>
        <w:br/>
      </w:r>
      <w:r>
        <w:rPr>
          <w:b/>
          <w:sz w:val="22"/>
          <w:szCs w:val="22"/>
        </w:rPr>
        <w:t xml:space="preserve">Vilma u. 5. számú, 106/3 hrsz-ú </w:t>
      </w:r>
      <w:r w:rsidRPr="00032426">
        <w:rPr>
          <w:sz w:val="22"/>
          <w:szCs w:val="22"/>
        </w:rPr>
        <w:t>ingatlanra</w:t>
      </w:r>
      <w:r w:rsidRPr="00002BF1">
        <w:rPr>
          <w:sz w:val="22"/>
          <w:szCs w:val="22"/>
        </w:rPr>
        <w:t xml:space="preserve"> vonatkozik. </w:t>
      </w:r>
    </w:p>
    <w:p w:rsidR="00C17531" w:rsidRDefault="00C17531" w:rsidP="00C17531">
      <w:p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Tulajdoni hányad: 4/4. Jellege: nem lakóingatlan. Megnevezése: kivett gyógyszertár.</w:t>
      </w:r>
    </w:p>
    <w:p w:rsidR="00C17531" w:rsidRDefault="00C17531" w:rsidP="00C17531">
      <w:p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Az ingatlan tartozékai és jellemző tulajdonságai: 791 m</w:t>
      </w:r>
      <w:r w:rsidRPr="009A4B58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területen fekvő, 200 m</w:t>
      </w:r>
      <w:r w:rsidRPr="009A4B58">
        <w:rPr>
          <w:sz w:val="22"/>
          <w:szCs w:val="22"/>
          <w:vertAlign w:val="superscript"/>
        </w:rPr>
        <w:t>2</w:t>
      </w:r>
      <w:r>
        <w:rPr>
          <w:sz w:val="22"/>
          <w:szCs w:val="22"/>
        </w:rPr>
        <w:t xml:space="preserve"> alapterületű (egyemeletes) kivett gyógyszertár. Az ingatlan alsó része üres, gyógyszertár működött benne (használaton kívül). Helyiségei: eladótér, közlekedő, raktárak, előkészítő, WC. </w:t>
      </w:r>
      <w:r w:rsidR="009A4B58">
        <w:rPr>
          <w:sz w:val="22"/>
          <w:szCs w:val="22"/>
        </w:rPr>
        <w:br/>
      </w:r>
      <w:r>
        <w:rPr>
          <w:sz w:val="22"/>
          <w:szCs w:val="22"/>
        </w:rPr>
        <w:t>Az emeleti része lakás, 3 szoba, konyha, fürdőszoba, kamra, 2 előtér. Falazata</w:t>
      </w:r>
      <w:r w:rsidR="009A4B58">
        <w:rPr>
          <w:sz w:val="22"/>
          <w:szCs w:val="22"/>
        </w:rPr>
        <w:t xml:space="preserve">: </w:t>
      </w:r>
      <w:r>
        <w:rPr>
          <w:sz w:val="22"/>
          <w:szCs w:val="22"/>
        </w:rPr>
        <w:t>tégla, fűtés</w:t>
      </w:r>
      <w:r w:rsidR="009A4B58">
        <w:rPr>
          <w:sz w:val="22"/>
          <w:szCs w:val="22"/>
        </w:rPr>
        <w:t xml:space="preserve">: </w:t>
      </w:r>
      <w:r>
        <w:rPr>
          <w:sz w:val="22"/>
          <w:szCs w:val="22"/>
        </w:rPr>
        <w:t>gáz, közművesítettsége</w:t>
      </w:r>
      <w:r w:rsidR="009A4B58">
        <w:rPr>
          <w:sz w:val="22"/>
          <w:szCs w:val="22"/>
        </w:rPr>
        <w:t>:</w:t>
      </w:r>
      <w:r>
        <w:rPr>
          <w:sz w:val="22"/>
          <w:szCs w:val="22"/>
        </w:rPr>
        <w:t xml:space="preserve"> vezetékes víz, gáz, villany. Szobák és mellékhelyiségek burkolata: mozaik, parketta.</w:t>
      </w:r>
    </w:p>
    <w:p w:rsidR="009A4B58" w:rsidRDefault="00C17531" w:rsidP="00C17531">
      <w:p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Melléképület: garázs, műhely, üzlet, egyéb tároló. </w:t>
      </w:r>
    </w:p>
    <w:p w:rsidR="00C17531" w:rsidRDefault="00C17531" w:rsidP="00C17531">
      <w:p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Az ingatlant haszonélvezeti jog terheli. (A haszonélvezeti jog a Vht. 137. §. (2) alapján törlődik, mivel annak jogosultja a végrehajtást kérő követelésének kielégítéséért felelős.)</w:t>
      </w:r>
    </w:p>
    <w:p w:rsidR="009A4B58" w:rsidRDefault="009A4B58" w:rsidP="00C17531">
      <w:pPr>
        <w:tabs>
          <w:tab w:val="left" w:pos="709"/>
        </w:tabs>
        <w:jc w:val="both"/>
        <w:rPr>
          <w:sz w:val="22"/>
          <w:szCs w:val="22"/>
        </w:rPr>
      </w:pPr>
    </w:p>
    <w:p w:rsidR="009A4B58" w:rsidRDefault="00C17531" w:rsidP="00C17531">
      <w:p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Az ingatlan nem felel meg a Vht. 147. § (3) bekezdése szerinti feltételeknek, így a kikiáltási ár 50 %-ának megfelelő összeggel tehető vételi ajánlat. </w:t>
      </w:r>
    </w:p>
    <w:p w:rsidR="00C17531" w:rsidRPr="009A4B58" w:rsidRDefault="009A4B58" w:rsidP="00C17531">
      <w:pPr>
        <w:tabs>
          <w:tab w:val="left" w:pos="709"/>
        </w:tabs>
        <w:jc w:val="both"/>
        <w:rPr>
          <w:i/>
          <w:sz w:val="22"/>
          <w:szCs w:val="22"/>
        </w:rPr>
      </w:pPr>
      <w:r w:rsidRPr="009A4B58">
        <w:rPr>
          <w:i/>
          <w:sz w:val="22"/>
          <w:szCs w:val="22"/>
        </w:rPr>
        <w:t>Lakóingatlanra legalább a kikiáltási ár 70%-ának - fogyasztóval kötött szerződésen alapuló követelés behajtása esetén legalább a kikiáltási árának - megfelelő összeggel tehető érvényes vételi ajánlat, ha az adósnak ez az egyetlen lakóingatlana, lakóhelye ebben van, és a végrehajtási eljárás megindítását megelőző 6 hónapban is ebben volt.</w:t>
      </w:r>
    </w:p>
    <w:p w:rsidR="009A4B58" w:rsidRDefault="009A4B58" w:rsidP="00C17531">
      <w:pPr>
        <w:tabs>
          <w:tab w:val="left" w:pos="709"/>
        </w:tabs>
        <w:jc w:val="both"/>
        <w:rPr>
          <w:sz w:val="22"/>
          <w:szCs w:val="22"/>
        </w:rPr>
      </w:pPr>
    </w:p>
    <w:p w:rsidR="00C17531" w:rsidRDefault="00C17531" w:rsidP="00C17531">
      <w:pPr>
        <w:tabs>
          <w:tab w:val="left" w:pos="709"/>
        </w:tabs>
        <w:jc w:val="both"/>
        <w:rPr>
          <w:sz w:val="22"/>
          <w:szCs w:val="22"/>
        </w:rPr>
      </w:pPr>
      <w:r>
        <w:rPr>
          <w:sz w:val="22"/>
          <w:szCs w:val="22"/>
        </w:rPr>
        <w:t>Az ingatlan közérdekű használati joggal terhelten kerül árverésre.</w:t>
      </w:r>
    </w:p>
    <w:p w:rsidR="00C17531" w:rsidRDefault="00C17531" w:rsidP="00C17531">
      <w:pPr>
        <w:tabs>
          <w:tab w:val="left" w:pos="709"/>
        </w:tabs>
        <w:jc w:val="both"/>
        <w:rPr>
          <w:sz w:val="22"/>
          <w:szCs w:val="22"/>
        </w:rPr>
      </w:pPr>
    </w:p>
    <w:p w:rsidR="00C17531" w:rsidRDefault="00C17531" w:rsidP="00C17531">
      <w:pPr>
        <w:tabs>
          <w:tab w:val="left" w:pos="709"/>
          <w:tab w:val="left" w:pos="3686"/>
        </w:tabs>
        <w:jc w:val="both"/>
        <w:rPr>
          <w:sz w:val="22"/>
          <w:szCs w:val="22"/>
        </w:rPr>
      </w:pPr>
      <w:r>
        <w:rPr>
          <w:sz w:val="22"/>
          <w:szCs w:val="22"/>
        </w:rPr>
        <w:t>Az ingatlan becsértéke beköltözhetően: 39.000.000 Ft, árverési előleg: 3.900.000 Ft.</w:t>
      </w:r>
    </w:p>
    <w:p w:rsidR="00C17531" w:rsidRDefault="00C17531" w:rsidP="00C17531">
      <w:pPr>
        <w:tabs>
          <w:tab w:val="left" w:pos="709"/>
          <w:tab w:val="left" w:pos="3686"/>
        </w:tabs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C17531" w:rsidRPr="00A83DE3" w:rsidRDefault="00C17531" w:rsidP="00C17531">
      <w:pPr>
        <w:tabs>
          <w:tab w:val="left" w:pos="7938"/>
        </w:tabs>
        <w:jc w:val="both"/>
        <w:outlineLvl w:val="3"/>
        <w:rPr>
          <w:b/>
          <w:bCs/>
          <w:i/>
          <w:sz w:val="20"/>
          <w:szCs w:val="20"/>
        </w:rPr>
      </w:pPr>
      <w:r w:rsidRPr="00A83DE3">
        <w:rPr>
          <w:b/>
          <w:bCs/>
          <w:i/>
          <w:sz w:val="20"/>
          <w:szCs w:val="20"/>
        </w:rPr>
        <w:t>A települési önkormányzat elővásárlási joga lakóingatlan kényszerértékesítése során</w:t>
      </w:r>
    </w:p>
    <w:p w:rsidR="00C17531" w:rsidRPr="00A83DE3" w:rsidRDefault="00C17531" w:rsidP="00C17531">
      <w:pPr>
        <w:tabs>
          <w:tab w:val="left" w:pos="7938"/>
        </w:tabs>
        <w:ind w:firstLine="240"/>
        <w:jc w:val="both"/>
        <w:rPr>
          <w:i/>
          <w:sz w:val="20"/>
          <w:szCs w:val="20"/>
        </w:rPr>
      </w:pPr>
      <w:r w:rsidRPr="00A83DE3">
        <w:rPr>
          <w:b/>
          <w:bCs/>
          <w:i/>
          <w:sz w:val="20"/>
          <w:szCs w:val="20"/>
        </w:rPr>
        <w:t xml:space="preserve">85/F. § </w:t>
      </w:r>
      <w:r w:rsidRPr="00A83DE3">
        <w:rPr>
          <w:i/>
          <w:sz w:val="20"/>
          <w:szCs w:val="20"/>
        </w:rPr>
        <w:t>(1) A bírósági végrehajtásról szóló 1994. évi LIII. törvény 147. §-ának (3) és (4) bekezdése szerinti lakóingatlan fekvése szerinti települési önkormányzatot - az (5) bekezdésben foglalt kivétellel - a beköltözhető állapotban értékesítendő lakóingatlan bírósági és közigazgatási végrehajtási árverése, valamint nyilvános pályázati értékesítése során - az árverésen, nyilvános pályázaton, a végrehajtási eljárásra vonatkozó külön jogszabály szerint gyakorolható - elővásárlási jog illeti meg.</w:t>
      </w:r>
    </w:p>
    <w:p w:rsidR="00C17531" w:rsidRPr="00A83DE3" w:rsidRDefault="00C17531" w:rsidP="00C17531">
      <w:pPr>
        <w:tabs>
          <w:tab w:val="left" w:pos="7938"/>
        </w:tabs>
        <w:ind w:firstLine="240"/>
        <w:jc w:val="both"/>
        <w:rPr>
          <w:i/>
          <w:sz w:val="20"/>
          <w:szCs w:val="20"/>
        </w:rPr>
      </w:pPr>
      <w:r w:rsidRPr="00A83DE3">
        <w:rPr>
          <w:i/>
          <w:sz w:val="20"/>
          <w:szCs w:val="20"/>
        </w:rPr>
        <w:t>(2) A külön jogszabály szerinti lakóingatlan fekvése szerinti települési önkormányzatot a lakóingatlan, mint zálogtárgy bírósági végrehajtáson kívül történő értékesítése során - a bírósági végrehajtáson kívüli értékesítésen, a zálogtárgy bírósági végrehajtáson kívül történő értékesítéséről szóló külön jogszabály szerint gyakorolható - elővásárlási jog illeti meg.</w:t>
      </w:r>
    </w:p>
    <w:p w:rsidR="00C17531" w:rsidRPr="00A83DE3" w:rsidRDefault="00C17531" w:rsidP="00C17531">
      <w:pPr>
        <w:tabs>
          <w:tab w:val="left" w:pos="7938"/>
        </w:tabs>
        <w:ind w:firstLine="240"/>
        <w:jc w:val="both"/>
        <w:rPr>
          <w:i/>
          <w:sz w:val="20"/>
          <w:szCs w:val="20"/>
        </w:rPr>
      </w:pPr>
      <w:r w:rsidRPr="00A83DE3">
        <w:rPr>
          <w:i/>
          <w:sz w:val="20"/>
          <w:szCs w:val="20"/>
        </w:rPr>
        <w:t>(3) A települési önkormányzat az e § szerinti elővásárlási jogát akkor gyakorolhatja, ha az (1) vagy (2) bekezdésben megjelölt adós, zálogkötelezett kérelmet terjesztett elő a lakóingatlan bérleti jogának megszerzése iránt, és a települési önkormányzat írásban kötelezettséget vállalt arra, hogy a megvásárolt lakóingatlant a végrehajtási eljárás adósának vagy a zálogkötelezettnek az e törvényben és önkormányzat bérbeadásról szóló rendeletében meghatározott feltételek szerint, határozatlan időre bérbe adja.</w:t>
      </w:r>
    </w:p>
    <w:p w:rsidR="009A4B58" w:rsidRDefault="009A4B58" w:rsidP="00C17531">
      <w:pPr>
        <w:tabs>
          <w:tab w:val="left" w:pos="7938"/>
        </w:tabs>
        <w:ind w:firstLine="240"/>
        <w:jc w:val="both"/>
        <w:rPr>
          <w:i/>
          <w:sz w:val="20"/>
          <w:szCs w:val="20"/>
        </w:rPr>
      </w:pPr>
    </w:p>
    <w:p w:rsidR="009A4B58" w:rsidRDefault="009A4B58" w:rsidP="00C17531">
      <w:pPr>
        <w:tabs>
          <w:tab w:val="left" w:pos="7938"/>
        </w:tabs>
        <w:ind w:firstLine="240"/>
        <w:jc w:val="both"/>
        <w:rPr>
          <w:i/>
          <w:sz w:val="20"/>
          <w:szCs w:val="20"/>
        </w:rPr>
      </w:pPr>
    </w:p>
    <w:p w:rsidR="009A4B58" w:rsidRDefault="009A4B58" w:rsidP="00C17531">
      <w:pPr>
        <w:tabs>
          <w:tab w:val="left" w:pos="7938"/>
        </w:tabs>
        <w:ind w:firstLine="240"/>
        <w:jc w:val="both"/>
        <w:rPr>
          <w:i/>
          <w:sz w:val="20"/>
          <w:szCs w:val="20"/>
        </w:rPr>
      </w:pPr>
    </w:p>
    <w:p w:rsidR="00C17531" w:rsidRDefault="00C17531" w:rsidP="00C17531">
      <w:pPr>
        <w:tabs>
          <w:tab w:val="left" w:pos="7938"/>
        </w:tabs>
        <w:ind w:firstLine="240"/>
        <w:jc w:val="both"/>
        <w:rPr>
          <w:i/>
          <w:sz w:val="20"/>
          <w:szCs w:val="20"/>
        </w:rPr>
      </w:pPr>
      <w:r w:rsidRPr="00A83DE3">
        <w:rPr>
          <w:i/>
          <w:sz w:val="20"/>
          <w:szCs w:val="20"/>
        </w:rPr>
        <w:t>(4) Ha a zálogjoggal terhelt ingatlan vonatkozásában mind az adós, mind a zálogkötelezett kéri a bérbeadást, a bérleti jog a zálogkötelezettet illeti meg.</w:t>
      </w:r>
    </w:p>
    <w:p w:rsidR="00C17531" w:rsidRPr="00A83DE3" w:rsidRDefault="00C17531" w:rsidP="00C17531">
      <w:pPr>
        <w:tabs>
          <w:tab w:val="left" w:pos="7938"/>
        </w:tabs>
        <w:ind w:firstLine="240"/>
        <w:jc w:val="both"/>
        <w:rPr>
          <w:i/>
          <w:sz w:val="20"/>
          <w:szCs w:val="20"/>
        </w:rPr>
      </w:pPr>
      <w:r w:rsidRPr="00A83DE3">
        <w:rPr>
          <w:i/>
          <w:sz w:val="20"/>
          <w:szCs w:val="20"/>
        </w:rPr>
        <w:t>(5) Nem illeti meg a települési önkormányzatot az e § szerinti elővásárlási jog</w:t>
      </w:r>
    </w:p>
    <w:p w:rsidR="00C17531" w:rsidRPr="00A83DE3" w:rsidRDefault="00C17531" w:rsidP="00C17531">
      <w:pPr>
        <w:tabs>
          <w:tab w:val="left" w:pos="7938"/>
        </w:tabs>
        <w:ind w:firstLine="240"/>
        <w:jc w:val="both"/>
        <w:rPr>
          <w:i/>
          <w:sz w:val="20"/>
          <w:szCs w:val="20"/>
        </w:rPr>
      </w:pPr>
      <w:r w:rsidRPr="00A83DE3">
        <w:rPr>
          <w:i/>
          <w:iCs/>
          <w:sz w:val="20"/>
          <w:szCs w:val="20"/>
        </w:rPr>
        <w:t xml:space="preserve">a) </w:t>
      </w:r>
      <w:r w:rsidRPr="00A83DE3">
        <w:rPr>
          <w:i/>
          <w:sz w:val="20"/>
          <w:szCs w:val="20"/>
        </w:rPr>
        <w:t>a lakóingatlan árverésen kívüli, árverési vétel hatályával történő eladása és a lakóingatlan átvétele során,</w:t>
      </w:r>
    </w:p>
    <w:p w:rsidR="00C17531" w:rsidRPr="00A83DE3" w:rsidRDefault="00C17531" w:rsidP="00C17531">
      <w:pPr>
        <w:tabs>
          <w:tab w:val="left" w:pos="7938"/>
        </w:tabs>
        <w:ind w:firstLine="240"/>
        <w:jc w:val="both"/>
        <w:rPr>
          <w:i/>
          <w:sz w:val="20"/>
          <w:szCs w:val="20"/>
        </w:rPr>
      </w:pPr>
      <w:r w:rsidRPr="00A83DE3">
        <w:rPr>
          <w:i/>
          <w:iCs/>
          <w:sz w:val="20"/>
          <w:szCs w:val="20"/>
        </w:rPr>
        <w:t xml:space="preserve">b) </w:t>
      </w:r>
      <w:r w:rsidRPr="00A83DE3">
        <w:rPr>
          <w:i/>
          <w:sz w:val="20"/>
          <w:szCs w:val="20"/>
        </w:rPr>
        <w:t>a lakóingatlan közös tulajdonának árveréssel történő megszüntetése iránt indult végrehajtási eljárásban.</w:t>
      </w:r>
    </w:p>
    <w:p w:rsidR="00C17531" w:rsidRPr="00F83978" w:rsidRDefault="00C17531" w:rsidP="00C17531">
      <w:pPr>
        <w:pStyle w:val="llb"/>
        <w:tabs>
          <w:tab w:val="clear" w:pos="4536"/>
          <w:tab w:val="clear" w:pos="9072"/>
          <w:tab w:val="left" w:pos="7938"/>
        </w:tabs>
        <w:ind w:right="110"/>
        <w:rPr>
          <w:i/>
          <w:sz w:val="16"/>
          <w:szCs w:val="16"/>
        </w:rPr>
      </w:pPr>
    </w:p>
    <w:p w:rsidR="00C17531" w:rsidRPr="00002BF1" w:rsidRDefault="00C17531" w:rsidP="00C17531">
      <w:pPr>
        <w:pStyle w:val="llb"/>
        <w:tabs>
          <w:tab w:val="clear" w:pos="4536"/>
          <w:tab w:val="clear" w:pos="9072"/>
          <w:tab w:val="left" w:pos="7938"/>
        </w:tabs>
        <w:ind w:right="110"/>
        <w:rPr>
          <w:sz w:val="22"/>
          <w:szCs w:val="22"/>
        </w:rPr>
      </w:pPr>
      <w:r>
        <w:rPr>
          <w:sz w:val="22"/>
          <w:szCs w:val="22"/>
        </w:rPr>
        <w:t>Kérem, hogy az előterjesztést megvitatni szíveskedjenek.</w:t>
      </w:r>
    </w:p>
    <w:p w:rsidR="00C17531" w:rsidRDefault="00C17531" w:rsidP="00C17531">
      <w:pPr>
        <w:pStyle w:val="llb"/>
        <w:tabs>
          <w:tab w:val="clear" w:pos="4536"/>
          <w:tab w:val="clear" w:pos="9072"/>
          <w:tab w:val="left" w:pos="7938"/>
        </w:tabs>
        <w:ind w:right="110"/>
        <w:rPr>
          <w:sz w:val="22"/>
          <w:szCs w:val="22"/>
        </w:rPr>
      </w:pPr>
    </w:p>
    <w:p w:rsidR="009A4B58" w:rsidRDefault="009A4B58" w:rsidP="00C17531">
      <w:pPr>
        <w:pStyle w:val="llb"/>
        <w:tabs>
          <w:tab w:val="clear" w:pos="4536"/>
          <w:tab w:val="clear" w:pos="9072"/>
          <w:tab w:val="left" w:pos="7938"/>
        </w:tabs>
        <w:ind w:right="110"/>
        <w:rPr>
          <w:sz w:val="22"/>
          <w:szCs w:val="22"/>
        </w:rPr>
      </w:pPr>
    </w:p>
    <w:p w:rsidR="00C17531" w:rsidRDefault="00C17531" w:rsidP="00C17531">
      <w:pPr>
        <w:pStyle w:val="llb"/>
        <w:tabs>
          <w:tab w:val="clear" w:pos="4536"/>
          <w:tab w:val="clear" w:pos="9072"/>
          <w:tab w:val="left" w:pos="7938"/>
        </w:tabs>
        <w:ind w:right="110"/>
        <w:rPr>
          <w:sz w:val="22"/>
          <w:szCs w:val="22"/>
        </w:rPr>
      </w:pPr>
      <w:r>
        <w:rPr>
          <w:sz w:val="22"/>
          <w:szCs w:val="22"/>
        </w:rPr>
        <w:t xml:space="preserve">Balatonmáriafürdő, 2018. </w:t>
      </w:r>
      <w:r w:rsidR="009A4B58">
        <w:rPr>
          <w:sz w:val="22"/>
          <w:szCs w:val="22"/>
        </w:rPr>
        <w:t xml:space="preserve"> </w:t>
      </w:r>
      <w:r w:rsidR="007C5CEC">
        <w:rPr>
          <w:sz w:val="22"/>
          <w:szCs w:val="22"/>
        </w:rPr>
        <w:t>július 5.</w:t>
      </w:r>
      <w:bookmarkStart w:id="1" w:name="_GoBack"/>
      <w:bookmarkEnd w:id="1"/>
    </w:p>
    <w:p w:rsidR="00C17531" w:rsidRDefault="00C17531" w:rsidP="00C17531">
      <w:pPr>
        <w:pStyle w:val="llb"/>
        <w:tabs>
          <w:tab w:val="clear" w:pos="4536"/>
          <w:tab w:val="clear" w:pos="9072"/>
          <w:tab w:val="left" w:pos="7938"/>
        </w:tabs>
        <w:ind w:right="110" w:firstLine="6120"/>
        <w:jc w:val="center"/>
        <w:rPr>
          <w:sz w:val="22"/>
          <w:szCs w:val="22"/>
        </w:rPr>
      </w:pPr>
    </w:p>
    <w:p w:rsidR="00C17531" w:rsidRPr="00F83978" w:rsidRDefault="00C17531" w:rsidP="00C17531">
      <w:pPr>
        <w:pStyle w:val="llb"/>
        <w:tabs>
          <w:tab w:val="clear" w:pos="4536"/>
          <w:tab w:val="clear" w:pos="9072"/>
          <w:tab w:val="left" w:pos="7938"/>
        </w:tabs>
        <w:ind w:right="110" w:firstLine="6120"/>
        <w:jc w:val="center"/>
        <w:rPr>
          <w:sz w:val="20"/>
        </w:rPr>
      </w:pPr>
      <w:r>
        <w:rPr>
          <w:sz w:val="20"/>
        </w:rPr>
        <w:t>Galácz György</w:t>
      </w:r>
      <w:r w:rsidRPr="00F83978">
        <w:rPr>
          <w:sz w:val="20"/>
        </w:rPr>
        <w:t xml:space="preserve"> sk.</w:t>
      </w:r>
    </w:p>
    <w:p w:rsidR="00C17531" w:rsidRPr="00F83978" w:rsidRDefault="00C17531" w:rsidP="00C17531">
      <w:pPr>
        <w:pStyle w:val="llb"/>
        <w:tabs>
          <w:tab w:val="clear" w:pos="4536"/>
          <w:tab w:val="clear" w:pos="9072"/>
          <w:tab w:val="left" w:pos="7938"/>
        </w:tabs>
        <w:ind w:right="110" w:firstLine="6120"/>
        <w:jc w:val="center"/>
        <w:rPr>
          <w:sz w:val="20"/>
        </w:rPr>
      </w:pPr>
      <w:r w:rsidRPr="00F83978">
        <w:rPr>
          <w:sz w:val="20"/>
        </w:rPr>
        <w:t>polgármester</w:t>
      </w:r>
    </w:p>
    <w:p w:rsidR="00C17531" w:rsidRDefault="00C17531" w:rsidP="00C17531">
      <w:pPr>
        <w:pStyle w:val="llb"/>
        <w:tabs>
          <w:tab w:val="clear" w:pos="4536"/>
          <w:tab w:val="clear" w:pos="9072"/>
          <w:tab w:val="left" w:pos="7938"/>
        </w:tabs>
        <w:ind w:left="708" w:right="612"/>
        <w:jc w:val="both"/>
        <w:rPr>
          <w:b/>
          <w:sz w:val="22"/>
          <w:szCs w:val="22"/>
          <w:u w:val="single"/>
        </w:rPr>
      </w:pPr>
    </w:p>
    <w:p w:rsidR="009A4B58" w:rsidRDefault="009A4B58" w:rsidP="00C17531">
      <w:pPr>
        <w:pStyle w:val="llb"/>
        <w:tabs>
          <w:tab w:val="clear" w:pos="4536"/>
          <w:tab w:val="clear" w:pos="9072"/>
        </w:tabs>
        <w:ind w:left="708" w:right="612"/>
        <w:jc w:val="both"/>
        <w:rPr>
          <w:b/>
          <w:sz w:val="22"/>
          <w:szCs w:val="22"/>
          <w:u w:val="single"/>
        </w:rPr>
      </w:pPr>
    </w:p>
    <w:p w:rsidR="009A4B58" w:rsidRDefault="009A4B58" w:rsidP="00C17531">
      <w:pPr>
        <w:pStyle w:val="llb"/>
        <w:tabs>
          <w:tab w:val="clear" w:pos="4536"/>
          <w:tab w:val="clear" w:pos="9072"/>
        </w:tabs>
        <w:ind w:left="708" w:right="612"/>
        <w:jc w:val="both"/>
        <w:rPr>
          <w:b/>
          <w:sz w:val="22"/>
          <w:szCs w:val="22"/>
          <w:u w:val="single"/>
        </w:rPr>
      </w:pPr>
    </w:p>
    <w:p w:rsidR="00C17531" w:rsidRPr="00002BF1" w:rsidRDefault="00C17531" w:rsidP="00C17531">
      <w:pPr>
        <w:pStyle w:val="llb"/>
        <w:tabs>
          <w:tab w:val="clear" w:pos="4536"/>
          <w:tab w:val="clear" w:pos="9072"/>
        </w:tabs>
        <w:ind w:left="708" w:right="612"/>
        <w:jc w:val="both"/>
        <w:rPr>
          <w:b/>
          <w:sz w:val="22"/>
          <w:szCs w:val="22"/>
          <w:u w:val="single"/>
        </w:rPr>
      </w:pPr>
      <w:r w:rsidRPr="00002BF1">
        <w:rPr>
          <w:b/>
          <w:sz w:val="22"/>
          <w:szCs w:val="22"/>
          <w:u w:val="single"/>
        </w:rPr>
        <w:t>Határozati javaslat</w:t>
      </w:r>
    </w:p>
    <w:p w:rsidR="00C17531" w:rsidRDefault="00C17531" w:rsidP="00C17531">
      <w:pPr>
        <w:pStyle w:val="llb"/>
        <w:tabs>
          <w:tab w:val="clear" w:pos="4536"/>
          <w:tab w:val="left" w:pos="9072"/>
        </w:tabs>
        <w:ind w:left="708" w:right="612"/>
        <w:jc w:val="both"/>
        <w:rPr>
          <w:sz w:val="22"/>
          <w:szCs w:val="22"/>
        </w:rPr>
      </w:pPr>
      <w:r>
        <w:rPr>
          <w:sz w:val="22"/>
          <w:szCs w:val="22"/>
        </w:rPr>
        <w:t>Balatonmáriafürdő</w:t>
      </w:r>
      <w:r w:rsidRPr="00002BF1">
        <w:rPr>
          <w:sz w:val="22"/>
          <w:szCs w:val="22"/>
        </w:rPr>
        <w:t xml:space="preserve"> Község Önkormányzata a </w:t>
      </w:r>
      <w:r w:rsidRPr="0042665D">
        <w:rPr>
          <w:b/>
          <w:sz w:val="22"/>
          <w:szCs w:val="22"/>
        </w:rPr>
        <w:t>B</w:t>
      </w:r>
      <w:r>
        <w:rPr>
          <w:b/>
          <w:sz w:val="22"/>
          <w:szCs w:val="22"/>
        </w:rPr>
        <w:t>alatonmáriafürdő</w:t>
      </w:r>
      <w:r w:rsidRPr="0042665D">
        <w:rPr>
          <w:b/>
          <w:sz w:val="22"/>
          <w:szCs w:val="22"/>
        </w:rPr>
        <w:t xml:space="preserve">, </w:t>
      </w:r>
      <w:r>
        <w:rPr>
          <w:b/>
          <w:sz w:val="22"/>
          <w:szCs w:val="22"/>
        </w:rPr>
        <w:t xml:space="preserve">Vilma u. 5. számú, 106/3 hrsz-ú </w:t>
      </w:r>
      <w:r w:rsidRPr="00032426">
        <w:rPr>
          <w:sz w:val="22"/>
          <w:szCs w:val="22"/>
        </w:rPr>
        <w:t>ingatlan</w:t>
      </w:r>
      <w:r>
        <w:rPr>
          <w:sz w:val="22"/>
          <w:szCs w:val="22"/>
        </w:rPr>
        <w:t xml:space="preserve"> esetében az árverésen gyakorolható elővásárlási jogával nem kíván élni.</w:t>
      </w:r>
    </w:p>
    <w:p w:rsidR="00C17531" w:rsidRPr="00002BF1" w:rsidRDefault="00C17531" w:rsidP="00C17531">
      <w:pPr>
        <w:pStyle w:val="llb"/>
        <w:tabs>
          <w:tab w:val="clear" w:pos="4536"/>
          <w:tab w:val="left" w:pos="9072"/>
        </w:tabs>
        <w:ind w:left="708" w:right="612"/>
        <w:rPr>
          <w:sz w:val="22"/>
          <w:szCs w:val="22"/>
        </w:rPr>
      </w:pPr>
      <w:r w:rsidRPr="00002BF1">
        <w:rPr>
          <w:b/>
          <w:sz w:val="22"/>
          <w:szCs w:val="22"/>
        </w:rPr>
        <w:t>Határidő:</w:t>
      </w:r>
      <w:r w:rsidRPr="00002BF1">
        <w:rPr>
          <w:sz w:val="22"/>
          <w:szCs w:val="22"/>
        </w:rPr>
        <w:t xml:space="preserve"> értesítésre: 8 nap</w:t>
      </w:r>
    </w:p>
    <w:p w:rsidR="00C17531" w:rsidRDefault="00C17531" w:rsidP="00C17531">
      <w:pPr>
        <w:pStyle w:val="llb"/>
        <w:tabs>
          <w:tab w:val="clear" w:pos="4536"/>
          <w:tab w:val="left" w:pos="9072"/>
        </w:tabs>
        <w:ind w:left="708" w:right="612"/>
      </w:pPr>
      <w:r w:rsidRPr="00002BF1">
        <w:rPr>
          <w:b/>
          <w:sz w:val="22"/>
          <w:szCs w:val="22"/>
        </w:rPr>
        <w:t>Felelős:</w:t>
      </w:r>
      <w:r w:rsidRPr="00002BF1">
        <w:rPr>
          <w:sz w:val="22"/>
          <w:szCs w:val="22"/>
        </w:rPr>
        <w:t xml:space="preserve"> </w:t>
      </w:r>
      <w:r>
        <w:rPr>
          <w:sz w:val="22"/>
          <w:szCs w:val="22"/>
        </w:rPr>
        <w:t>Galácz György</w:t>
      </w:r>
      <w:r w:rsidRPr="00002BF1">
        <w:rPr>
          <w:sz w:val="22"/>
          <w:szCs w:val="22"/>
        </w:rPr>
        <w:t xml:space="preserve"> polgármester</w:t>
      </w:r>
    </w:p>
    <w:p w:rsidR="004A732E" w:rsidRDefault="004A732E"/>
    <w:sectPr w:rsidR="004A732E" w:rsidSect="00A51E90">
      <w:footerReference w:type="default" r:id="rId7"/>
      <w:pgSz w:w="11906" w:h="16838"/>
      <w:pgMar w:top="1417" w:right="1417" w:bottom="568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4E56" w:rsidRDefault="00644E56">
      <w:r>
        <w:separator/>
      </w:r>
    </w:p>
  </w:endnote>
  <w:endnote w:type="continuationSeparator" w:id="0">
    <w:p w:rsidR="00644E56" w:rsidRDefault="00644E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E90" w:rsidRDefault="00F6343C">
    <w:pPr>
      <w:pStyle w:val="ll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C5CEC">
      <w:rPr>
        <w:noProof/>
      </w:rPr>
      <w:t>2</w:t>
    </w:r>
    <w:r>
      <w:fldChar w:fldCharType="end"/>
    </w:r>
  </w:p>
  <w:p w:rsidR="00A51E90" w:rsidRDefault="00644E56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4E56" w:rsidRDefault="00644E56">
      <w:r>
        <w:separator/>
      </w:r>
    </w:p>
  </w:footnote>
  <w:footnote w:type="continuationSeparator" w:id="0">
    <w:p w:rsidR="00644E56" w:rsidRDefault="00644E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17531"/>
    <w:rsid w:val="004A732E"/>
    <w:rsid w:val="00644E56"/>
    <w:rsid w:val="007C5CEC"/>
    <w:rsid w:val="009A4B58"/>
    <w:rsid w:val="00C17531"/>
    <w:rsid w:val="00F634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01A9F9-F997-4952-B07B-642E734DF3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C175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C17531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175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17531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1753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17531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17531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  <w:lang w:eastAsia="hu-HU"/>
    </w:rPr>
  </w:style>
  <w:style w:type="paragraph" w:styleId="llb">
    <w:name w:val="footer"/>
    <w:basedOn w:val="Norml"/>
    <w:link w:val="llbChar"/>
    <w:rsid w:val="00C17531"/>
    <w:pPr>
      <w:tabs>
        <w:tab w:val="center" w:pos="4536"/>
        <w:tab w:val="right" w:pos="9072"/>
      </w:tabs>
    </w:pPr>
    <w:rPr>
      <w:szCs w:val="20"/>
    </w:rPr>
  </w:style>
  <w:style w:type="character" w:customStyle="1" w:styleId="llbChar">
    <w:name w:val="Élőláb Char"/>
    <w:basedOn w:val="Bekezdsalapbettpusa"/>
    <w:link w:val="llb"/>
    <w:rsid w:val="00C17531"/>
    <w:rPr>
      <w:rFonts w:ascii="Times New Roman" w:eastAsia="Times New Roman" w:hAnsi="Times New Roman" w:cs="Times New Roman"/>
      <w:sz w:val="24"/>
      <w:szCs w:val="20"/>
      <w:lang w:eastAsia="hu-HU"/>
    </w:rPr>
  </w:style>
  <w:style w:type="paragraph" w:styleId="Cm">
    <w:name w:val="Title"/>
    <w:basedOn w:val="Norml"/>
    <w:link w:val="CmChar"/>
    <w:qFormat/>
    <w:rsid w:val="00C17531"/>
    <w:pPr>
      <w:tabs>
        <w:tab w:val="left" w:pos="3686"/>
      </w:tabs>
      <w:jc w:val="center"/>
    </w:pPr>
    <w:rPr>
      <w:b/>
      <w:szCs w:val="20"/>
    </w:rPr>
  </w:style>
  <w:style w:type="character" w:customStyle="1" w:styleId="CmChar">
    <w:name w:val="Cím Char"/>
    <w:basedOn w:val="Bekezdsalapbettpusa"/>
    <w:link w:val="Cm"/>
    <w:rsid w:val="00C17531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paragraph" w:customStyle="1" w:styleId="FCm">
    <w:name w:val="FôCím"/>
    <w:basedOn w:val="Norml"/>
    <w:rsid w:val="00C17531"/>
    <w:pPr>
      <w:keepNext/>
      <w:keepLines/>
      <w:spacing w:before="480" w:after="240"/>
      <w:jc w:val="center"/>
    </w:pPr>
    <w:rPr>
      <w:b/>
      <w:sz w:val="28"/>
      <w:szCs w:val="20"/>
    </w:rPr>
  </w:style>
  <w:style w:type="paragraph" w:styleId="NormlWeb">
    <w:name w:val="Normal (Web)"/>
    <w:basedOn w:val="Norml"/>
    <w:uiPriority w:val="99"/>
    <w:semiHidden/>
    <w:unhideWhenUsed/>
    <w:rsid w:val="00C17531"/>
    <w:pPr>
      <w:spacing w:before="100" w:beforeAutospacing="1" w:after="100" w:afterAutospacing="1"/>
    </w:pPr>
  </w:style>
  <w:style w:type="character" w:styleId="Hiperhivatkozs">
    <w:name w:val="Hyperlink"/>
    <w:basedOn w:val="Bekezdsalapbettpusa"/>
    <w:uiPriority w:val="99"/>
    <w:semiHidden/>
    <w:unhideWhenUsed/>
    <w:rsid w:val="009A4B5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609</Words>
  <Characters>4208</Characters>
  <Application>Microsoft Office Word</Application>
  <DocSecurity>0</DocSecurity>
  <Lines>35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Windows-felhasználó</cp:lastModifiedBy>
  <cp:revision>2</cp:revision>
  <dcterms:created xsi:type="dcterms:W3CDTF">2018-06-19T11:42:00Z</dcterms:created>
  <dcterms:modified xsi:type="dcterms:W3CDTF">2018-07-04T12:53:00Z</dcterms:modified>
</cp:coreProperties>
</file>