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77D" w:rsidRPr="00D519EB" w:rsidRDefault="008B277D" w:rsidP="008B277D">
      <w:pPr>
        <w:jc w:val="center"/>
        <w:rPr>
          <w:rFonts w:ascii="Cambria" w:hAnsi="Cambria"/>
          <w:b/>
          <w:sz w:val="22"/>
          <w:szCs w:val="22"/>
          <w:u w:val="single"/>
        </w:rPr>
      </w:pPr>
      <w:r w:rsidRPr="00D519EB">
        <w:rPr>
          <w:rFonts w:ascii="Cambria" w:hAnsi="Cambria"/>
          <w:b/>
          <w:sz w:val="22"/>
          <w:szCs w:val="22"/>
          <w:u w:val="single"/>
        </w:rPr>
        <w:t>RENDELET-TERVEZET</w:t>
      </w:r>
    </w:p>
    <w:p w:rsidR="008B277D" w:rsidRPr="00D519EB" w:rsidRDefault="008B277D" w:rsidP="008B277D">
      <w:pPr>
        <w:contextualSpacing/>
        <w:rPr>
          <w:rFonts w:ascii="Cambria" w:hAnsi="Cambria"/>
          <w:b/>
          <w:bCs/>
          <w:sz w:val="22"/>
          <w:szCs w:val="22"/>
        </w:rPr>
      </w:pPr>
    </w:p>
    <w:p w:rsidR="008B277D" w:rsidRPr="00D519EB" w:rsidRDefault="008B277D" w:rsidP="008B277D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D519EB">
        <w:rPr>
          <w:rFonts w:ascii="Cambria" w:hAnsi="Cambria"/>
          <w:b/>
          <w:bCs/>
          <w:sz w:val="22"/>
          <w:szCs w:val="22"/>
        </w:rPr>
        <w:t>Balatonmáriafürdő Község Önkormányzat Képviselő-testületének</w:t>
      </w:r>
    </w:p>
    <w:p w:rsidR="008B277D" w:rsidRPr="00D519EB" w:rsidRDefault="008B277D" w:rsidP="008B277D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…/2019</w:t>
      </w:r>
      <w:r w:rsidRPr="00D519EB">
        <w:rPr>
          <w:rFonts w:ascii="Cambria" w:hAnsi="Cambria"/>
          <w:b/>
          <w:bCs/>
          <w:sz w:val="22"/>
          <w:szCs w:val="22"/>
        </w:rPr>
        <w:t>.(</w:t>
      </w:r>
      <w:proofErr w:type="gramStart"/>
      <w:r>
        <w:rPr>
          <w:rFonts w:ascii="Cambria" w:hAnsi="Cambria"/>
          <w:b/>
          <w:bCs/>
          <w:sz w:val="22"/>
          <w:szCs w:val="22"/>
        </w:rPr>
        <w:t>II</w:t>
      </w:r>
      <w:r w:rsidRPr="00D519EB">
        <w:rPr>
          <w:rFonts w:ascii="Cambria" w:hAnsi="Cambria"/>
          <w:b/>
          <w:bCs/>
          <w:sz w:val="22"/>
          <w:szCs w:val="22"/>
        </w:rPr>
        <w:t>. …</w:t>
      </w:r>
      <w:proofErr w:type="gramEnd"/>
      <w:r w:rsidRPr="00D519EB">
        <w:rPr>
          <w:rFonts w:ascii="Cambria" w:hAnsi="Cambria"/>
          <w:b/>
          <w:bCs/>
          <w:sz w:val="22"/>
          <w:szCs w:val="22"/>
        </w:rPr>
        <w:t xml:space="preserve">) önkormányzati rendelete </w:t>
      </w:r>
    </w:p>
    <w:p w:rsidR="008B277D" w:rsidRPr="00D519EB" w:rsidRDefault="008B277D" w:rsidP="008B277D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proofErr w:type="gramStart"/>
      <w:r w:rsidRPr="00D519EB">
        <w:rPr>
          <w:rFonts w:ascii="Cambria" w:hAnsi="Cambria"/>
          <w:b/>
          <w:bCs/>
          <w:sz w:val="22"/>
          <w:szCs w:val="22"/>
        </w:rPr>
        <w:t>a</w:t>
      </w:r>
      <w:proofErr w:type="gramEnd"/>
      <w:r w:rsidRPr="00D519EB">
        <w:rPr>
          <w:rFonts w:ascii="Cambria" w:hAnsi="Cambria"/>
          <w:b/>
          <w:bCs/>
          <w:sz w:val="22"/>
          <w:szCs w:val="22"/>
        </w:rPr>
        <w:t xml:space="preserve"> közterületek használatáról szóló </w:t>
      </w:r>
    </w:p>
    <w:p w:rsidR="008B277D" w:rsidRPr="00D519EB" w:rsidRDefault="008B277D" w:rsidP="008B277D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D519EB">
        <w:rPr>
          <w:rFonts w:ascii="Cambria" w:hAnsi="Cambria"/>
          <w:b/>
          <w:bCs/>
          <w:sz w:val="22"/>
          <w:szCs w:val="22"/>
        </w:rPr>
        <w:t>6/2018.(III.20.) önkormányzati rendelet módosításáról</w:t>
      </w:r>
    </w:p>
    <w:p w:rsidR="008B277D" w:rsidRPr="00D519EB" w:rsidRDefault="008B277D" w:rsidP="008B277D">
      <w:pPr>
        <w:contextualSpacing/>
        <w:jc w:val="both"/>
        <w:rPr>
          <w:rFonts w:ascii="Cambria" w:hAnsi="Cambria"/>
          <w:sz w:val="22"/>
          <w:szCs w:val="22"/>
        </w:rPr>
      </w:pPr>
    </w:p>
    <w:p w:rsidR="008B277D" w:rsidRPr="00535231" w:rsidRDefault="008B277D" w:rsidP="008B277D">
      <w:pPr>
        <w:contextualSpacing/>
        <w:jc w:val="both"/>
        <w:rPr>
          <w:rFonts w:ascii="Cambria" w:hAnsi="Cambria" w:cs="Calibri"/>
        </w:rPr>
      </w:pPr>
      <w:r w:rsidRPr="00535231">
        <w:rPr>
          <w:rFonts w:ascii="Cambria" w:hAnsi="Cambria" w:cs="Calibri"/>
        </w:rPr>
        <w:t>Balatonmáriafürdő Község Önkormányzat Képviselő-testülete az épített környezet alakításáról és védelméről szóló 1997. évi LXXVIII. törvény 54. § (1) és (5) bekezdésében foglalt felhatalmazás alapján, Magyarország helyi önkormányzatairól szóló 2011. évi CLXXXIX. törvény 13.§ (1) bekezdés 2. pontjában meghatározott feladatkörében eljárva a következőket rendeli el:</w:t>
      </w:r>
    </w:p>
    <w:p w:rsidR="008B277D" w:rsidRPr="00535231" w:rsidRDefault="008B277D" w:rsidP="008B277D">
      <w:pPr>
        <w:contextualSpacing/>
        <w:jc w:val="both"/>
        <w:rPr>
          <w:rFonts w:ascii="Cambria" w:hAnsi="Cambria" w:cs="Calibri"/>
        </w:rPr>
      </w:pPr>
    </w:p>
    <w:p w:rsidR="008B277D" w:rsidRPr="00535231" w:rsidRDefault="008B277D" w:rsidP="008B277D">
      <w:pPr>
        <w:contextualSpacing/>
        <w:jc w:val="both"/>
        <w:rPr>
          <w:rFonts w:ascii="Cambria" w:hAnsi="Cambria" w:cs="Calibri"/>
        </w:rPr>
      </w:pPr>
      <w:r w:rsidRPr="00535231">
        <w:rPr>
          <w:rFonts w:ascii="Cambria" w:hAnsi="Cambria" w:cs="Calibri"/>
        </w:rPr>
        <w:t>1.§ A közterületek használatáról szóló 6/2018.(III. 20.) önkormányzati rendelet 1</w:t>
      </w:r>
      <w:proofErr w:type="gramStart"/>
      <w:r w:rsidRPr="00535231">
        <w:rPr>
          <w:rFonts w:ascii="Cambria" w:hAnsi="Cambria" w:cs="Calibri"/>
        </w:rPr>
        <w:t>.,</w:t>
      </w:r>
      <w:proofErr w:type="gramEnd"/>
      <w:r w:rsidRPr="00535231">
        <w:rPr>
          <w:rFonts w:ascii="Cambria" w:hAnsi="Cambria" w:cs="Calibri"/>
        </w:rPr>
        <w:t>2. melléklete helyébe a rendelet 1.,2. melléklete lép.</w:t>
      </w:r>
    </w:p>
    <w:p w:rsidR="008B277D" w:rsidRPr="00535231" w:rsidRDefault="008B277D" w:rsidP="008B277D">
      <w:pPr>
        <w:contextualSpacing/>
        <w:jc w:val="both"/>
        <w:rPr>
          <w:rFonts w:ascii="Cambria" w:hAnsi="Cambria" w:cs="Calibri"/>
        </w:rPr>
      </w:pPr>
    </w:p>
    <w:p w:rsidR="008B277D" w:rsidRPr="00D519EB" w:rsidRDefault="008B277D" w:rsidP="008B277D">
      <w:pPr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</w:t>
      </w:r>
      <w:r w:rsidRPr="00D519EB">
        <w:rPr>
          <w:rFonts w:ascii="Cambria" w:hAnsi="Cambria"/>
          <w:sz w:val="22"/>
          <w:szCs w:val="22"/>
        </w:rPr>
        <w:t xml:space="preserve">.§. </w:t>
      </w:r>
      <w:r w:rsidRPr="00F125E8">
        <w:rPr>
          <w:rFonts w:ascii="Cambria" w:hAnsi="Cambria" w:cs="Calibri"/>
        </w:rPr>
        <w:t>A rendelet kihirdetését követő napon lép hatályba, és hatálybalépését követő napon hatályát veszti.</w:t>
      </w:r>
    </w:p>
    <w:p w:rsidR="008B277D" w:rsidRPr="00D519EB" w:rsidRDefault="008B277D" w:rsidP="008B277D">
      <w:pPr>
        <w:contextualSpacing/>
        <w:jc w:val="both"/>
        <w:rPr>
          <w:rFonts w:ascii="Cambria" w:hAnsi="Cambria"/>
          <w:sz w:val="22"/>
          <w:szCs w:val="22"/>
        </w:rPr>
      </w:pPr>
    </w:p>
    <w:p w:rsidR="008B277D" w:rsidRPr="00D519EB" w:rsidRDefault="008B277D" w:rsidP="008B277D">
      <w:pPr>
        <w:contextualSpacing/>
        <w:jc w:val="both"/>
        <w:rPr>
          <w:rFonts w:ascii="Cambria" w:hAnsi="Cambria"/>
          <w:sz w:val="22"/>
          <w:szCs w:val="22"/>
        </w:rPr>
      </w:pPr>
    </w:p>
    <w:p w:rsidR="008B277D" w:rsidRPr="00D519EB" w:rsidRDefault="008B277D" w:rsidP="008B277D">
      <w:pPr>
        <w:contextualSpacing/>
        <w:jc w:val="center"/>
        <w:rPr>
          <w:rFonts w:ascii="Cambria" w:hAnsi="Cambria"/>
          <w:sz w:val="22"/>
          <w:szCs w:val="22"/>
        </w:rPr>
      </w:pPr>
      <w:r w:rsidRPr="00D519EB">
        <w:rPr>
          <w:rFonts w:ascii="Cambria" w:hAnsi="Cambria"/>
          <w:sz w:val="22"/>
          <w:szCs w:val="22"/>
        </w:rPr>
        <w:t xml:space="preserve">Galácz </w:t>
      </w:r>
      <w:proofErr w:type="gramStart"/>
      <w:r w:rsidRPr="00D519EB">
        <w:rPr>
          <w:rFonts w:ascii="Cambria" w:hAnsi="Cambria"/>
          <w:sz w:val="22"/>
          <w:szCs w:val="22"/>
        </w:rPr>
        <w:t>György                   Mestyán</w:t>
      </w:r>
      <w:proofErr w:type="gramEnd"/>
      <w:r w:rsidRPr="00D519EB">
        <w:rPr>
          <w:rFonts w:ascii="Cambria" w:hAnsi="Cambria"/>
          <w:sz w:val="22"/>
          <w:szCs w:val="22"/>
        </w:rPr>
        <w:t xml:space="preserve"> Valéria</w:t>
      </w:r>
    </w:p>
    <w:p w:rsidR="008B277D" w:rsidRDefault="008B277D" w:rsidP="008B277D">
      <w:pPr>
        <w:contextualSpacing/>
        <w:jc w:val="center"/>
        <w:rPr>
          <w:rFonts w:ascii="Cambria" w:hAnsi="Cambria"/>
          <w:sz w:val="22"/>
          <w:szCs w:val="22"/>
        </w:rPr>
      </w:pPr>
      <w:proofErr w:type="gramStart"/>
      <w:r w:rsidRPr="00D519EB">
        <w:rPr>
          <w:rFonts w:ascii="Cambria" w:hAnsi="Cambria"/>
          <w:sz w:val="22"/>
          <w:szCs w:val="22"/>
        </w:rPr>
        <w:t>polgármester</w:t>
      </w:r>
      <w:proofErr w:type="gramEnd"/>
      <w:r w:rsidRPr="00D519EB">
        <w:rPr>
          <w:rFonts w:ascii="Cambria" w:hAnsi="Cambria"/>
          <w:sz w:val="22"/>
          <w:szCs w:val="22"/>
        </w:rPr>
        <w:t xml:space="preserve">                    címzetes főjegyző</w:t>
      </w:r>
    </w:p>
    <w:p w:rsidR="008B277D" w:rsidRDefault="008B277D" w:rsidP="008B277D">
      <w:pPr>
        <w:contextualSpacing/>
        <w:jc w:val="center"/>
        <w:rPr>
          <w:rFonts w:ascii="Cambria" w:hAnsi="Cambria"/>
          <w:sz w:val="22"/>
          <w:szCs w:val="22"/>
        </w:rPr>
      </w:pPr>
    </w:p>
    <w:p w:rsidR="008B277D" w:rsidRPr="00D519EB" w:rsidRDefault="008B277D" w:rsidP="008B277D">
      <w:pPr>
        <w:contextualSpacing/>
        <w:jc w:val="center"/>
        <w:rPr>
          <w:rFonts w:ascii="Cambria" w:hAnsi="Cambria"/>
          <w:sz w:val="22"/>
          <w:szCs w:val="22"/>
        </w:rPr>
      </w:pPr>
    </w:p>
    <w:p w:rsidR="008B277D" w:rsidRPr="00D519EB" w:rsidRDefault="008B277D" w:rsidP="008B277D">
      <w:pPr>
        <w:contextualSpacing/>
        <w:jc w:val="center"/>
        <w:rPr>
          <w:rFonts w:ascii="Cambria" w:hAnsi="Cambria"/>
          <w:sz w:val="22"/>
          <w:szCs w:val="22"/>
        </w:rPr>
      </w:pPr>
    </w:p>
    <w:p w:rsidR="008B277D" w:rsidRDefault="008B277D" w:rsidP="008B277D">
      <w:pPr>
        <w:contextualSpacing/>
        <w:rPr>
          <w:rFonts w:ascii="Cambria" w:hAnsi="Cambria"/>
        </w:rPr>
      </w:pPr>
      <w:r>
        <w:rPr>
          <w:rFonts w:ascii="Cambria" w:hAnsi="Cambria"/>
        </w:rPr>
        <w:t xml:space="preserve">A rendelet kihirdetve: 2019. </w:t>
      </w:r>
      <w:proofErr w:type="gramStart"/>
      <w:r>
        <w:rPr>
          <w:rFonts w:ascii="Cambria" w:hAnsi="Cambria"/>
        </w:rPr>
        <w:t>február ….</w:t>
      </w:r>
      <w:proofErr w:type="gramEnd"/>
    </w:p>
    <w:p w:rsidR="008B277D" w:rsidRDefault="008B277D" w:rsidP="008B277D">
      <w:pPr>
        <w:contextualSpacing/>
        <w:rPr>
          <w:rFonts w:ascii="Cambria" w:hAnsi="Cambria"/>
        </w:rPr>
      </w:pPr>
    </w:p>
    <w:p w:rsidR="008B277D" w:rsidRDefault="008B277D" w:rsidP="008B277D">
      <w:pPr>
        <w:contextualSpacing/>
        <w:rPr>
          <w:rFonts w:ascii="Cambria" w:hAnsi="Cambria"/>
        </w:rPr>
      </w:pPr>
      <w:r>
        <w:rPr>
          <w:rFonts w:ascii="Cambria" w:hAnsi="Cambria"/>
        </w:rPr>
        <w:t>Mestyán Valéria</w:t>
      </w:r>
    </w:p>
    <w:p w:rsidR="008B277D" w:rsidRPr="00D519EB" w:rsidRDefault="008B277D" w:rsidP="008B277D">
      <w:pPr>
        <w:contextualSpacing/>
        <w:rPr>
          <w:rFonts w:ascii="Cambria" w:hAnsi="Cambria"/>
        </w:rPr>
      </w:pPr>
      <w:proofErr w:type="gramStart"/>
      <w:r>
        <w:rPr>
          <w:rFonts w:ascii="Cambria" w:hAnsi="Cambria"/>
        </w:rPr>
        <w:t>címzetes</w:t>
      </w:r>
      <w:proofErr w:type="gramEnd"/>
      <w:r>
        <w:rPr>
          <w:rFonts w:ascii="Cambria" w:hAnsi="Cambria"/>
        </w:rPr>
        <w:t xml:space="preserve"> főjegyző</w:t>
      </w:r>
    </w:p>
    <w:p w:rsidR="008B277D" w:rsidRPr="00D519EB" w:rsidRDefault="008B277D" w:rsidP="008B277D">
      <w:pPr>
        <w:contextualSpacing/>
        <w:jc w:val="center"/>
        <w:rPr>
          <w:rFonts w:ascii="Cambria" w:hAnsi="Cambria"/>
        </w:rPr>
      </w:pPr>
    </w:p>
    <w:p w:rsidR="008B277D" w:rsidRDefault="008B277D" w:rsidP="008B277D">
      <w:pPr>
        <w:contextualSpacing/>
        <w:jc w:val="both"/>
        <w:rPr>
          <w:rFonts w:ascii="Cambria" w:hAnsi="Cambria"/>
          <w:bCs/>
          <w:sz w:val="22"/>
          <w:szCs w:val="22"/>
        </w:rPr>
      </w:pPr>
    </w:p>
    <w:p w:rsidR="008B277D" w:rsidRPr="00F125E8" w:rsidRDefault="008B277D" w:rsidP="008B277D">
      <w:pPr>
        <w:shd w:val="clear" w:color="auto" w:fill="FFFFFF"/>
        <w:rPr>
          <w:rFonts w:ascii="Cambria" w:hAnsi="Cambria" w:cs="Calibri"/>
        </w:rPr>
      </w:pPr>
      <w:r w:rsidRPr="00F125E8">
        <w:rPr>
          <w:rFonts w:ascii="Cambria" w:hAnsi="Cambria"/>
        </w:rPr>
        <w:t xml:space="preserve">1. melléklet </w:t>
      </w:r>
      <w:proofErr w:type="gramStart"/>
      <w:r w:rsidRPr="00F125E8">
        <w:rPr>
          <w:rFonts w:ascii="Cambria" w:hAnsi="Cambria"/>
        </w:rPr>
        <w:t xml:space="preserve">a </w:t>
      </w:r>
      <w:r w:rsidRPr="00F125E8">
        <w:rPr>
          <w:rFonts w:ascii="Cambria" w:hAnsi="Cambria" w:cs="Calibri"/>
        </w:rPr>
        <w:t>…</w:t>
      </w:r>
      <w:proofErr w:type="gramEnd"/>
      <w:r w:rsidRPr="00F125E8">
        <w:rPr>
          <w:rFonts w:ascii="Cambria" w:hAnsi="Cambria" w:cs="Calibri"/>
        </w:rPr>
        <w:t>/201</w:t>
      </w:r>
      <w:r>
        <w:rPr>
          <w:rFonts w:ascii="Cambria" w:hAnsi="Cambria" w:cs="Calibri"/>
        </w:rPr>
        <w:t>9</w:t>
      </w:r>
      <w:r w:rsidRPr="00F125E8">
        <w:rPr>
          <w:rFonts w:ascii="Cambria" w:hAnsi="Cambria" w:cs="Calibri"/>
        </w:rPr>
        <w:t>.(II. ..) önkormányzati rendelethez</w:t>
      </w:r>
    </w:p>
    <w:p w:rsidR="008B277D" w:rsidRDefault="008B277D" w:rsidP="008B277D">
      <w:pPr>
        <w:contextualSpacing/>
        <w:jc w:val="both"/>
        <w:rPr>
          <w:rFonts w:ascii="Cambria" w:hAnsi="Cambria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7288"/>
        <w:gridCol w:w="1209"/>
      </w:tblGrid>
      <w:tr w:rsidR="008B277D" w:rsidRPr="00E83AE0" w:rsidTr="00F66132"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A közterületbe 10 cm-en túl benyúló üzlethomlokzat (Ft/m</w:t>
            </w:r>
            <w:r w:rsidRPr="00E83AE0">
              <w:rPr>
                <w:rFonts w:ascii="Cambria" w:hAnsi="Cambria"/>
                <w:vertAlign w:val="superscript"/>
              </w:rPr>
              <w:t xml:space="preserve">2 </w:t>
            </w:r>
            <w:r w:rsidRPr="00E83AE0">
              <w:rPr>
                <w:rFonts w:ascii="Cambria" w:hAnsi="Cambria"/>
              </w:rPr>
              <w:t>/hó):</w:t>
            </w:r>
            <w:r w:rsidRPr="00E83AE0">
              <w:rPr>
                <w:rFonts w:ascii="Cambria" w:hAnsi="Cambria"/>
              </w:rPr>
              <w:tab/>
            </w:r>
          </w:p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(portál, kirakatszekrény, hirdető berendezés stb.)</w:t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2 </w:t>
            </w:r>
            <w:r>
              <w:rPr>
                <w:rFonts w:ascii="Cambria" w:hAnsi="Cambria"/>
              </w:rPr>
              <w:t>8</w:t>
            </w:r>
            <w:r w:rsidRPr="00E83AE0">
              <w:rPr>
                <w:rFonts w:ascii="Cambria" w:hAnsi="Cambria"/>
              </w:rPr>
              <w:t>00</w:t>
            </w:r>
          </w:p>
        </w:tc>
      </w:tr>
      <w:tr w:rsidR="008B277D" w:rsidRPr="00E83AE0" w:rsidTr="00F66132"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Árusító és egyéb fülke, árusításra szolgáló pavilon elhelyezése (Ft/hó):</w:t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>38</w:t>
            </w:r>
            <w:r w:rsidRPr="00E83AE0">
              <w:rPr>
                <w:rFonts w:ascii="Cambria" w:hAnsi="Cambria"/>
              </w:rPr>
              <w:t xml:space="preserve"> 000</w:t>
            </w:r>
          </w:p>
        </w:tc>
      </w:tr>
      <w:tr w:rsidR="008B277D" w:rsidRPr="00E83AE0" w:rsidTr="00F66132"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3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Géperejű bérkocsik, taxik állomáshelye (Ft/év/gépkocsi)</w:t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>15</w:t>
            </w:r>
            <w:r w:rsidRPr="00E83AE0">
              <w:rPr>
                <w:rFonts w:ascii="Cambria" w:hAnsi="Cambria"/>
              </w:rPr>
              <w:t xml:space="preserve"> 000</w:t>
            </w:r>
          </w:p>
        </w:tc>
      </w:tr>
      <w:tr w:rsidR="008B277D" w:rsidRPr="00E83AE0" w:rsidTr="00F66132"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4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Állati erővel vontatott jármű közlekedése (Ft/hó)                                                                        </w:t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3</w:t>
            </w:r>
            <w:r>
              <w:rPr>
                <w:rFonts w:ascii="Cambria" w:hAnsi="Cambria"/>
              </w:rPr>
              <w:t>5</w:t>
            </w:r>
            <w:r w:rsidRPr="00E83AE0">
              <w:rPr>
                <w:rFonts w:ascii="Cambria" w:hAnsi="Cambria"/>
              </w:rPr>
              <w:t xml:space="preserve"> 000</w:t>
            </w:r>
          </w:p>
        </w:tc>
      </w:tr>
      <w:tr w:rsidR="008B277D" w:rsidRPr="00E83AE0" w:rsidTr="00F66132"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5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Üzleti hirdető berendezés (reklámtábla), tájékoztató tábla elhelyezése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 xml:space="preserve">/hó):       </w:t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Pr="00E83AE0">
              <w:rPr>
                <w:rFonts w:ascii="Cambria" w:hAnsi="Cambria"/>
              </w:rPr>
              <w:t> 000</w:t>
            </w:r>
          </w:p>
        </w:tc>
      </w:tr>
      <w:tr w:rsidR="008B277D" w:rsidRPr="00E83AE0" w:rsidTr="00F66132"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Önkormányzati tulajdonban lévő hirdetőfelületek igénybevétele </w:t>
            </w:r>
          </w:p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(plakát, reklámtábla elhelyezése céljából)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>/hó):</w:t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Pr="00E83AE0">
              <w:rPr>
                <w:rFonts w:ascii="Cambria" w:hAnsi="Cambria"/>
              </w:rPr>
              <w:t xml:space="preserve"> 000</w:t>
            </w:r>
          </w:p>
        </w:tc>
      </w:tr>
      <w:tr w:rsidR="008B277D" w:rsidRPr="00E83AE0" w:rsidTr="00F66132"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Építési munkával kapcsolatos állvány, építőanyag, törmelék, háztartási tüzelőanyag elhelyezése, </w:t>
            </w:r>
          </w:p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lakó-, üdülőtelek előtt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>/hó):</w:t>
            </w:r>
          </w:p>
          <w:p w:rsidR="008B277D" w:rsidRPr="00E83AE0" w:rsidRDefault="008B277D" w:rsidP="008B277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május 15-től szeptember 15-ig (3 napig ingyenes)             </w:t>
            </w:r>
            <w:r w:rsidRPr="00E83AE0">
              <w:rPr>
                <w:rFonts w:ascii="Cambria" w:hAnsi="Cambria"/>
              </w:rPr>
              <w:tab/>
              <w:t xml:space="preserve">                         </w:t>
            </w:r>
          </w:p>
          <w:p w:rsidR="008B277D" w:rsidRPr="00E83AE0" w:rsidRDefault="008B277D" w:rsidP="008B277D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üdülési idényen kívül (14 napig ingyenes):</w:t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  <w:t xml:space="preserve">             </w:t>
            </w:r>
            <w:r w:rsidRPr="00E83AE0">
              <w:rPr>
                <w:rFonts w:ascii="Cambria" w:hAnsi="Cambria"/>
              </w:rPr>
              <w:tab/>
              <w:t xml:space="preserve">                          </w:t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</w:p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</w:p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</w:p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1 </w:t>
            </w:r>
            <w:r>
              <w:rPr>
                <w:rFonts w:ascii="Cambria" w:hAnsi="Cambria"/>
              </w:rPr>
              <w:t>4</w:t>
            </w:r>
            <w:r w:rsidRPr="00E83AE0">
              <w:rPr>
                <w:rFonts w:ascii="Cambria" w:hAnsi="Cambria"/>
              </w:rPr>
              <w:t>00</w:t>
            </w:r>
          </w:p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  <w:r w:rsidRPr="00E83AE0">
              <w:rPr>
                <w:rFonts w:ascii="Cambria" w:hAnsi="Cambria"/>
              </w:rPr>
              <w:t>00</w:t>
            </w:r>
          </w:p>
        </w:tc>
      </w:tr>
      <w:tr w:rsidR="008B277D" w:rsidRPr="00E83AE0" w:rsidTr="00F66132">
        <w:trPr>
          <w:trHeight w:val="1221"/>
        </w:trPr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lastRenderedPageBreak/>
              <w:t>8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Idényjellegű árusítás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>/nap):</w:t>
            </w:r>
          </w:p>
          <w:p w:rsidR="008B277D" w:rsidRDefault="008B277D" w:rsidP="008B277D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 alkalmi és mozgó árusítás </w:t>
            </w:r>
          </w:p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Mozgóárusítás: (kereskedő, vagy megbízottja olyan eszköz segítségével viszi magával az eladásra kínált árut, amely nem minősül mozgóboltnak (pl. kosár, tricikli, fagylaltos kocsi)</w:t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</w:p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  <w:r w:rsidRPr="00E83AE0">
              <w:rPr>
                <w:rFonts w:ascii="Cambria" w:hAnsi="Cambria"/>
              </w:rPr>
              <w:t>00</w:t>
            </w:r>
          </w:p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</w:p>
        </w:tc>
      </w:tr>
      <w:tr w:rsidR="008B277D" w:rsidRPr="00E83AE0" w:rsidTr="00F66132">
        <w:trPr>
          <w:trHeight w:val="664"/>
        </w:trPr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Idényjellegű árusítás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>/nap):</w:t>
            </w:r>
          </w:p>
          <w:p w:rsidR="008B277D" w:rsidRDefault="008B277D" w:rsidP="008B277D">
            <w:pPr>
              <w:numPr>
                <w:ilvl w:val="0"/>
                <w:numId w:val="2"/>
              </w:numPr>
            </w:pPr>
            <w:r w:rsidRPr="00E83AE0">
              <w:rPr>
                <w:rFonts w:ascii="Cambria" w:hAnsi="Cambria"/>
              </w:rPr>
              <w:t>üzlettel rendelkezők üzletük előtti árusítás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>
              <w:rPr>
                <w:rFonts w:ascii="Cambria" w:hAnsi="Cambria"/>
              </w:rPr>
              <w:t>/hó)</w:t>
            </w:r>
            <w:r w:rsidRPr="00E83AE0">
              <w:rPr>
                <w:rFonts w:ascii="Cambria" w:hAnsi="Cambria"/>
              </w:rPr>
              <w:tab/>
            </w:r>
          </w:p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5800</w:t>
            </w:r>
          </w:p>
        </w:tc>
      </w:tr>
      <w:tr w:rsidR="008B277D" w:rsidRPr="00E83AE0" w:rsidTr="00F66132"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Sport és kulturális rendezvény, alkalmi vásár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 xml:space="preserve">/nap):                                              </w:t>
            </w:r>
          </w:p>
          <w:p w:rsidR="008B277D" w:rsidRPr="00E83AE0" w:rsidRDefault="008B277D" w:rsidP="008B277D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kiállítás alkalmi vásár:</w:t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2 </w:t>
            </w:r>
            <w:r>
              <w:rPr>
                <w:rFonts w:ascii="Cambria" w:hAnsi="Cambria"/>
              </w:rPr>
              <w:t>3</w:t>
            </w:r>
            <w:r w:rsidRPr="00E83AE0">
              <w:rPr>
                <w:rFonts w:ascii="Cambria" w:hAnsi="Cambria"/>
              </w:rPr>
              <w:t>00</w:t>
            </w:r>
          </w:p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1 </w:t>
            </w:r>
            <w:r>
              <w:rPr>
                <w:rFonts w:ascii="Cambria" w:hAnsi="Cambria"/>
              </w:rPr>
              <w:t>90</w:t>
            </w:r>
            <w:r w:rsidRPr="00E83AE0">
              <w:rPr>
                <w:rFonts w:ascii="Cambria" w:hAnsi="Cambria"/>
              </w:rPr>
              <w:t>0</w:t>
            </w:r>
          </w:p>
        </w:tc>
      </w:tr>
      <w:tr w:rsidR="008B277D" w:rsidRPr="00E83AE0" w:rsidTr="00F66132"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11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Vendéglátó egységek építési szabályzatban meghatározott kialakítandó</w:t>
            </w:r>
          </w:p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  parkolóhely gépkocsinként</w:t>
            </w:r>
            <w:r>
              <w:rPr>
                <w:rFonts w:ascii="Cambria" w:hAnsi="Cambria"/>
              </w:rPr>
              <w:t>i egyszeri megváltása:</w:t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  <w:t xml:space="preserve">    </w:t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2</w:t>
            </w:r>
            <w:r>
              <w:rPr>
                <w:rFonts w:ascii="Cambria" w:hAnsi="Cambria"/>
              </w:rPr>
              <w:t>9</w:t>
            </w:r>
            <w:r w:rsidRPr="00E83AE0">
              <w:rPr>
                <w:rFonts w:ascii="Cambria" w:hAnsi="Cambria"/>
              </w:rPr>
              <w:t>0 000</w:t>
            </w:r>
          </w:p>
        </w:tc>
      </w:tr>
      <w:tr w:rsidR="008B277D" w:rsidRPr="00E83AE0" w:rsidTr="00F66132"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12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Út-igénybevételi díj (Ft/nap)</w:t>
            </w:r>
          </w:p>
          <w:p w:rsidR="008B277D" w:rsidRPr="00E83AE0" w:rsidRDefault="008B277D" w:rsidP="008B277D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szezonban (június 1-től augusztus 31-ig):</w:t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</w:p>
          <w:p w:rsidR="008B277D" w:rsidRPr="00E83AE0" w:rsidRDefault="008B277D" w:rsidP="008B277D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szezonon kívül (Ft):</w:t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  <w:t xml:space="preserve">                         </w:t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</w:p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5</w:t>
            </w:r>
            <w:r>
              <w:rPr>
                <w:rFonts w:ascii="Cambria" w:hAnsi="Cambria"/>
              </w:rPr>
              <w:t xml:space="preserve"> 8</w:t>
            </w:r>
            <w:r w:rsidRPr="00E83AE0">
              <w:rPr>
                <w:rFonts w:ascii="Cambria" w:hAnsi="Cambria"/>
              </w:rPr>
              <w:t>00</w:t>
            </w:r>
          </w:p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1 10</w:t>
            </w:r>
            <w:r w:rsidRPr="00E83AE0">
              <w:rPr>
                <w:rFonts w:ascii="Cambria" w:hAnsi="Cambria"/>
              </w:rPr>
              <w:t>0</w:t>
            </w:r>
          </w:p>
        </w:tc>
      </w:tr>
      <w:tr w:rsidR="008B277D" w:rsidRPr="00E83AE0" w:rsidTr="00F66132">
        <w:tc>
          <w:tcPr>
            <w:tcW w:w="571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13</w:t>
            </w:r>
          </w:p>
        </w:tc>
        <w:tc>
          <w:tcPr>
            <w:tcW w:w="7654" w:type="dxa"/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 5 tonna feletti gépjármű út-igénybevételi díja (Ft/nap)                                                                             </w:t>
            </w:r>
          </w:p>
        </w:tc>
        <w:tc>
          <w:tcPr>
            <w:tcW w:w="1239" w:type="dxa"/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2</w:t>
            </w:r>
            <w:r>
              <w:rPr>
                <w:rFonts w:ascii="Cambria" w:hAnsi="Cambria"/>
              </w:rPr>
              <w:t>3</w:t>
            </w:r>
            <w:r w:rsidRPr="00E83AE0">
              <w:rPr>
                <w:rFonts w:ascii="Cambria" w:hAnsi="Cambria"/>
              </w:rPr>
              <w:t xml:space="preserve"> 000</w:t>
            </w:r>
          </w:p>
        </w:tc>
      </w:tr>
      <w:tr w:rsidR="008B277D" w:rsidRPr="00E83AE0" w:rsidTr="00F6613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S</w:t>
            </w:r>
            <w:r w:rsidRPr="00E83AE0">
              <w:rPr>
                <w:rFonts w:ascii="Cambria" w:hAnsi="Cambria"/>
              </w:rPr>
              <w:t>zórólapos reklámtevékenység, stand (Ft/hó/stand)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92</w:t>
            </w:r>
            <w:r w:rsidRPr="00E83AE0">
              <w:rPr>
                <w:rFonts w:ascii="Cambria" w:hAnsi="Cambria"/>
              </w:rPr>
              <w:t xml:space="preserve"> 000</w:t>
            </w:r>
          </w:p>
        </w:tc>
      </w:tr>
      <w:tr w:rsidR="008B277D" w:rsidRPr="00E83AE0" w:rsidTr="00F6613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Csónak</w:t>
            </w:r>
            <w:r w:rsidRPr="00E83AE0">
              <w:rPr>
                <w:rFonts w:ascii="Cambria" w:hAnsi="Cambria"/>
              </w:rPr>
              <w:t>kikötő hely Ft/év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2</w:t>
            </w:r>
            <w:r>
              <w:rPr>
                <w:rFonts w:ascii="Cambria" w:hAnsi="Cambria"/>
              </w:rPr>
              <w:t>3</w:t>
            </w:r>
            <w:r w:rsidRPr="00E83AE0">
              <w:rPr>
                <w:rFonts w:ascii="Cambria" w:hAnsi="Cambria"/>
              </w:rPr>
              <w:t xml:space="preserve"> 000</w:t>
            </w:r>
          </w:p>
        </w:tc>
      </w:tr>
      <w:tr w:rsidR="008B277D" w:rsidRPr="00E83AE0" w:rsidTr="00F6613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E83AE0">
              <w:rPr>
                <w:rFonts w:ascii="Cambria" w:hAnsi="Cambria"/>
              </w:rPr>
              <w:t>űfüves labdarugó pálya használata világítással Ft/óra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3</w:t>
            </w:r>
            <w:r>
              <w:rPr>
                <w:rFonts w:ascii="Cambria" w:hAnsi="Cambria"/>
              </w:rPr>
              <w:t xml:space="preserve"> </w:t>
            </w:r>
            <w:r w:rsidRPr="00E83AE0">
              <w:rPr>
                <w:rFonts w:ascii="Cambria" w:hAnsi="Cambria"/>
              </w:rPr>
              <w:t>500</w:t>
            </w:r>
          </w:p>
        </w:tc>
      </w:tr>
      <w:tr w:rsidR="008B277D" w:rsidRPr="00E83AE0" w:rsidTr="00F6613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E83AE0">
              <w:rPr>
                <w:rFonts w:ascii="Cambria" w:hAnsi="Cambria"/>
              </w:rPr>
              <w:t>űfüves labdarugó pálya használata világítás nélkül Ft/óra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3</w:t>
            </w:r>
            <w:r>
              <w:rPr>
                <w:rFonts w:ascii="Cambria" w:hAnsi="Cambria"/>
              </w:rPr>
              <w:t xml:space="preserve"> </w:t>
            </w:r>
            <w:r w:rsidRPr="00E83AE0">
              <w:rPr>
                <w:rFonts w:ascii="Cambria" w:hAnsi="Cambria"/>
              </w:rPr>
              <w:t>000</w:t>
            </w:r>
          </w:p>
        </w:tc>
      </w:tr>
      <w:tr w:rsidR="008B277D" w:rsidRPr="00E83AE0" w:rsidTr="00F6613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M</w:t>
            </w:r>
            <w:r w:rsidRPr="00E83AE0">
              <w:rPr>
                <w:rFonts w:ascii="Cambria" w:hAnsi="Cambria"/>
              </w:rPr>
              <w:t>ultifunkciós</w:t>
            </w:r>
            <w:proofErr w:type="spellEnd"/>
            <w:r w:rsidRPr="00E83AE0">
              <w:rPr>
                <w:rFonts w:ascii="Cambria" w:hAnsi="Cambria"/>
              </w:rPr>
              <w:t xml:space="preserve"> sportpálya használata világítással Ft/óra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3 </w:t>
            </w:r>
            <w:r w:rsidRPr="00E83AE0">
              <w:rPr>
                <w:rFonts w:ascii="Cambria" w:hAnsi="Cambria"/>
              </w:rPr>
              <w:t>500</w:t>
            </w:r>
          </w:p>
        </w:tc>
      </w:tr>
      <w:tr w:rsidR="008B277D" w:rsidRPr="00E83AE0" w:rsidTr="00F6613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M</w:t>
            </w:r>
            <w:r w:rsidRPr="00E83AE0">
              <w:rPr>
                <w:rFonts w:ascii="Cambria" w:hAnsi="Cambria"/>
              </w:rPr>
              <w:t>ultifunkciós</w:t>
            </w:r>
            <w:proofErr w:type="spellEnd"/>
            <w:r w:rsidRPr="00E83AE0">
              <w:rPr>
                <w:rFonts w:ascii="Cambria" w:hAnsi="Cambria"/>
              </w:rPr>
              <w:t xml:space="preserve"> sportpálya ha</w:t>
            </w:r>
            <w:r>
              <w:rPr>
                <w:rFonts w:ascii="Cambria" w:hAnsi="Cambria"/>
              </w:rPr>
              <w:t>sználata világítás nélkül Ft/óra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77D" w:rsidRPr="00E83AE0" w:rsidRDefault="008B277D" w:rsidP="00F66132">
            <w:pPr>
              <w:contextualSpacing/>
              <w:jc w:val="center"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3</w:t>
            </w:r>
            <w:r>
              <w:rPr>
                <w:rFonts w:ascii="Cambria" w:hAnsi="Cambria"/>
              </w:rPr>
              <w:t xml:space="preserve"> </w:t>
            </w:r>
            <w:r w:rsidRPr="00E83AE0">
              <w:rPr>
                <w:rFonts w:ascii="Cambria" w:hAnsi="Cambria"/>
              </w:rPr>
              <w:t>000</w:t>
            </w:r>
          </w:p>
        </w:tc>
      </w:tr>
    </w:tbl>
    <w:p w:rsidR="008B277D" w:rsidRDefault="008B277D" w:rsidP="008B277D">
      <w:pPr>
        <w:shd w:val="clear" w:color="auto" w:fill="FFFFFF"/>
        <w:rPr>
          <w:rFonts w:ascii="Cambria" w:hAnsi="Cambria"/>
          <w:sz w:val="22"/>
          <w:szCs w:val="22"/>
        </w:rPr>
      </w:pPr>
    </w:p>
    <w:p w:rsidR="008B277D" w:rsidRDefault="008B277D" w:rsidP="008B277D">
      <w:pPr>
        <w:shd w:val="clear" w:color="auto" w:fill="FFFFFF"/>
        <w:rPr>
          <w:rFonts w:ascii="Cambria" w:hAnsi="Cambria"/>
          <w:sz w:val="22"/>
          <w:szCs w:val="22"/>
        </w:rPr>
      </w:pPr>
    </w:p>
    <w:p w:rsidR="008B277D" w:rsidRPr="00F125E8" w:rsidRDefault="008B277D" w:rsidP="008B277D">
      <w:pPr>
        <w:shd w:val="clear" w:color="auto" w:fill="FFFFFF"/>
        <w:rPr>
          <w:rFonts w:ascii="Cambria" w:hAnsi="Cambria" w:cs="Calibri"/>
        </w:rPr>
      </w:pPr>
      <w:r>
        <w:rPr>
          <w:rFonts w:ascii="Cambria" w:hAnsi="Cambria"/>
        </w:rPr>
        <w:t>2</w:t>
      </w:r>
      <w:r w:rsidRPr="00F125E8">
        <w:rPr>
          <w:rFonts w:ascii="Cambria" w:hAnsi="Cambria"/>
        </w:rPr>
        <w:t xml:space="preserve">. melléklet </w:t>
      </w:r>
      <w:proofErr w:type="gramStart"/>
      <w:r w:rsidRPr="00F125E8">
        <w:rPr>
          <w:rFonts w:ascii="Cambria" w:hAnsi="Cambria"/>
        </w:rPr>
        <w:t xml:space="preserve">a </w:t>
      </w:r>
      <w:r w:rsidRPr="00F125E8">
        <w:rPr>
          <w:rFonts w:ascii="Cambria" w:hAnsi="Cambria" w:cs="Calibri"/>
        </w:rPr>
        <w:t>…</w:t>
      </w:r>
      <w:proofErr w:type="gramEnd"/>
      <w:r w:rsidRPr="00F125E8">
        <w:rPr>
          <w:rFonts w:ascii="Cambria" w:hAnsi="Cambria" w:cs="Calibri"/>
        </w:rPr>
        <w:t>/201</w:t>
      </w:r>
      <w:r>
        <w:rPr>
          <w:rFonts w:ascii="Cambria" w:hAnsi="Cambria" w:cs="Calibri"/>
        </w:rPr>
        <w:t>9</w:t>
      </w:r>
      <w:r w:rsidRPr="00F125E8">
        <w:rPr>
          <w:rFonts w:ascii="Cambria" w:hAnsi="Cambria" w:cs="Calibri"/>
        </w:rPr>
        <w:t>.(II. ..) önkormányzati rendelethez</w:t>
      </w:r>
    </w:p>
    <w:p w:rsidR="008B277D" w:rsidRPr="00203F71" w:rsidRDefault="008B277D" w:rsidP="008B277D">
      <w:pPr>
        <w:contextualSpacing/>
        <w:jc w:val="both"/>
        <w:rPr>
          <w:rFonts w:ascii="Cambria" w:hAnsi="Cambria" w:cs="Calibri"/>
        </w:rPr>
      </w:pPr>
    </w:p>
    <w:p w:rsidR="008B277D" w:rsidRPr="00E83AE0" w:rsidRDefault="008B277D" w:rsidP="008B277D">
      <w:pPr>
        <w:contextualSpacing/>
        <w:jc w:val="center"/>
        <w:rPr>
          <w:rFonts w:ascii="Cambria" w:hAnsi="Cambria"/>
          <w:b/>
        </w:rPr>
      </w:pPr>
      <w:r w:rsidRPr="00E83AE0">
        <w:rPr>
          <w:rFonts w:ascii="Cambria" w:hAnsi="Cambria"/>
          <w:b/>
        </w:rPr>
        <w:t>A területbérlet időszaka minden év június 1. és augusztus 31. közötti időszak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1"/>
        <w:gridCol w:w="3192"/>
        <w:gridCol w:w="1939"/>
      </w:tblGrid>
      <w:tr w:rsidR="008B277D" w:rsidRPr="00E83AE0" w:rsidTr="00F66132">
        <w:trPr>
          <w:trHeight w:val="633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Vízi bicikli kölcsönzés (</w:t>
            </w:r>
            <w:smartTag w:uri="urn:schemas-microsoft-com:office:smarttags" w:element="metricconverter">
              <w:smartTagPr>
                <w:attr w:name="ProductID" w:val="50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50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1.</w:t>
            </w:r>
            <w:r>
              <w:rPr>
                <w:rFonts w:ascii="Cambria" w:hAnsi="Cambria"/>
                <w:sz w:val="22"/>
                <w:szCs w:val="22"/>
              </w:rPr>
              <w:t>20</w:t>
            </w:r>
            <w:r w:rsidRPr="00E83AE0">
              <w:rPr>
                <w:rFonts w:ascii="Cambria" w:hAnsi="Cambria"/>
                <w:sz w:val="22"/>
                <w:szCs w:val="22"/>
              </w:rPr>
              <w:t>0.000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E83AE0">
              <w:rPr>
                <w:rFonts w:ascii="Cambria" w:hAnsi="Cambria"/>
                <w:sz w:val="22"/>
                <w:szCs w:val="22"/>
              </w:rPr>
              <w:t>Ugrálóasztal</w:t>
            </w:r>
            <w:proofErr w:type="spellEnd"/>
            <w:r w:rsidRPr="00E83AE0">
              <w:rPr>
                <w:rFonts w:ascii="Cambria" w:hAnsi="Cambria"/>
                <w:sz w:val="22"/>
                <w:szCs w:val="22"/>
              </w:rPr>
              <w:t xml:space="preserve"> üzemeltetése (20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3</w:t>
            </w:r>
            <w:r>
              <w:rPr>
                <w:rFonts w:ascii="Cambria" w:hAnsi="Cambria"/>
                <w:sz w:val="22"/>
                <w:szCs w:val="22"/>
              </w:rPr>
              <w:t>7</w:t>
            </w:r>
            <w:r w:rsidRPr="00E83AE0">
              <w:rPr>
                <w:rFonts w:ascii="Cambria" w:hAnsi="Cambria"/>
                <w:sz w:val="22"/>
                <w:szCs w:val="22"/>
              </w:rPr>
              <w:t>0.000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Testfestés, henna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15</w:t>
            </w:r>
            <w:r>
              <w:rPr>
                <w:rFonts w:ascii="Cambria" w:hAnsi="Cambria"/>
                <w:sz w:val="22"/>
                <w:szCs w:val="22"/>
              </w:rPr>
              <w:t>6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 xml:space="preserve">)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225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Sporteszköz árusítás,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81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E83AE0">
              <w:rPr>
                <w:rFonts w:ascii="Cambria" w:hAnsi="Cambria"/>
                <w:sz w:val="22"/>
                <w:szCs w:val="22"/>
              </w:rPr>
              <w:t>Popcorn</w:t>
            </w:r>
            <w:proofErr w:type="spellEnd"/>
            <w:r w:rsidRPr="00E83AE0">
              <w:rPr>
                <w:rFonts w:ascii="Cambria" w:hAnsi="Cambria"/>
                <w:sz w:val="22"/>
                <w:szCs w:val="22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>
              <w:rPr>
                <w:rFonts w:ascii="Cambria" w:hAnsi="Cambria"/>
                <w:sz w:val="22"/>
                <w:szCs w:val="22"/>
              </w:rPr>
              <w:t>21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rPr>
          <w:trHeight w:val="39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Légvár üzemeltetés (50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5</w:t>
            </w:r>
            <w:r>
              <w:rPr>
                <w:rFonts w:ascii="Cambria" w:hAnsi="Cambria"/>
                <w:sz w:val="22"/>
                <w:szCs w:val="22"/>
              </w:rPr>
              <w:t>75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</w:tc>
      </w:tr>
      <w:tr w:rsidR="008B277D" w:rsidRPr="00E83AE0" w:rsidTr="00F66132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E83AE0">
              <w:rPr>
                <w:rFonts w:ascii="Cambria" w:hAnsi="Cambria"/>
                <w:sz w:val="22"/>
                <w:szCs w:val="22"/>
              </w:rPr>
              <w:t>Popcorn</w:t>
            </w:r>
            <w:proofErr w:type="spellEnd"/>
            <w:r w:rsidRPr="00E83AE0">
              <w:rPr>
                <w:rFonts w:ascii="Cambria" w:hAnsi="Cambria"/>
                <w:sz w:val="22"/>
                <w:szCs w:val="22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>
              <w:rPr>
                <w:rFonts w:ascii="Cambria" w:hAnsi="Cambria"/>
                <w:sz w:val="22"/>
                <w:szCs w:val="22"/>
              </w:rPr>
              <w:t>21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lastRenderedPageBreak/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>
              <w:rPr>
                <w:rFonts w:ascii="Cambria" w:hAnsi="Cambria"/>
                <w:sz w:val="22"/>
                <w:szCs w:val="22"/>
              </w:rPr>
              <w:t>21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E83AE0">
              <w:rPr>
                <w:rFonts w:ascii="Cambria" w:hAnsi="Cambria"/>
                <w:sz w:val="22"/>
                <w:szCs w:val="22"/>
              </w:rPr>
              <w:t>Ugrálóasztal</w:t>
            </w:r>
            <w:proofErr w:type="spellEnd"/>
            <w:r w:rsidRPr="00E83AE0">
              <w:rPr>
                <w:rFonts w:ascii="Cambria" w:hAnsi="Cambria"/>
                <w:sz w:val="22"/>
                <w:szCs w:val="22"/>
              </w:rPr>
              <w:t xml:space="preserve"> üzemeltetés (20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2</w:t>
            </w:r>
            <w:r>
              <w:rPr>
                <w:rFonts w:ascii="Cambria" w:hAnsi="Cambria"/>
                <w:sz w:val="22"/>
                <w:szCs w:val="22"/>
              </w:rPr>
              <w:t>88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Légvár üzemeltetés (50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575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Testfestés, henna (2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Pr="00E83AE0">
              <w:rPr>
                <w:rFonts w:ascii="Cambria" w:hAnsi="Cambria"/>
                <w:sz w:val="22"/>
                <w:szCs w:val="22"/>
              </w:rPr>
              <w:t>5</w:t>
            </w:r>
            <w:r>
              <w:rPr>
                <w:rFonts w:ascii="Cambria" w:hAnsi="Cambria"/>
                <w:sz w:val="22"/>
                <w:szCs w:val="22"/>
              </w:rPr>
              <w:t>6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Sporteszköz árusítás,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81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Vízi bicikli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403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Légvár üzemeltetés (20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2</w:t>
            </w:r>
            <w:r>
              <w:rPr>
                <w:rFonts w:ascii="Cambria" w:hAnsi="Cambria"/>
                <w:sz w:val="22"/>
                <w:szCs w:val="22"/>
              </w:rPr>
              <w:t>30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E83AE0">
              <w:rPr>
                <w:rFonts w:ascii="Cambria" w:hAnsi="Cambria"/>
                <w:sz w:val="22"/>
                <w:szCs w:val="22"/>
              </w:rPr>
              <w:t>Ugrálóasztal</w:t>
            </w:r>
            <w:proofErr w:type="spellEnd"/>
            <w:r w:rsidRPr="00E83AE0">
              <w:rPr>
                <w:rFonts w:ascii="Cambria" w:hAnsi="Cambria"/>
                <w:sz w:val="22"/>
                <w:szCs w:val="22"/>
              </w:rPr>
              <w:t xml:space="preserve"> üzemeltetés (50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4</w:t>
            </w:r>
            <w:r>
              <w:rPr>
                <w:rFonts w:ascii="Cambria" w:hAnsi="Cambria"/>
                <w:sz w:val="22"/>
                <w:szCs w:val="22"/>
              </w:rPr>
              <w:t>60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rPr>
          <w:trHeight w:hRule="exact" w:val="534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E83AE0">
              <w:rPr>
                <w:rFonts w:ascii="Cambria" w:hAnsi="Cambria"/>
                <w:sz w:val="22"/>
                <w:szCs w:val="22"/>
              </w:rPr>
              <w:t>Popcorn</w:t>
            </w:r>
            <w:proofErr w:type="spellEnd"/>
            <w:r w:rsidRPr="00E83AE0">
              <w:rPr>
                <w:rFonts w:ascii="Cambria" w:hAnsi="Cambria"/>
                <w:sz w:val="22"/>
                <w:szCs w:val="22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>
              <w:rPr>
                <w:rFonts w:ascii="Cambria" w:hAnsi="Cambria"/>
                <w:sz w:val="22"/>
                <w:szCs w:val="22"/>
              </w:rPr>
              <w:t>21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Vattacukor árusítás (2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>
              <w:rPr>
                <w:rFonts w:ascii="Cambria" w:hAnsi="Cambria"/>
                <w:sz w:val="22"/>
                <w:szCs w:val="22"/>
              </w:rPr>
              <w:t>21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Sporteszköz árusítás,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81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Testfestés, henna (2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>
              <w:rPr>
                <w:rFonts w:ascii="Cambria" w:hAnsi="Cambria"/>
                <w:sz w:val="22"/>
                <w:szCs w:val="22"/>
              </w:rPr>
              <w:t>56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8B277D" w:rsidRPr="00E83AE0" w:rsidTr="00F66132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8B277D" w:rsidRPr="00E83AE0" w:rsidTr="00F66132">
        <w:trPr>
          <w:trHeight w:val="39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Vattacukor árusítás (2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Őrház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115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8B277D" w:rsidRPr="00E83AE0" w:rsidTr="00F66132">
        <w:trPr>
          <w:trHeight w:val="444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 xml:space="preserve">Vízi bicikli kölcsönzés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Polgár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Pr="00E83AE0">
              <w:rPr>
                <w:rFonts w:ascii="Cambria" w:hAnsi="Cambria"/>
                <w:sz w:val="22"/>
                <w:szCs w:val="22"/>
              </w:rPr>
              <w:t>0</w:t>
            </w:r>
            <w:r>
              <w:rPr>
                <w:rFonts w:ascii="Cambria" w:hAnsi="Cambria"/>
                <w:sz w:val="22"/>
                <w:szCs w:val="22"/>
              </w:rPr>
              <w:t>4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</w:tc>
      </w:tr>
      <w:tr w:rsidR="008B277D" w:rsidRPr="00E83AE0" w:rsidTr="00F66132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</w:p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Térzenélés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</w:p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Gróf Széchényi Imre tér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7 0</w:t>
            </w:r>
            <w:r w:rsidRPr="00E83AE0">
              <w:rPr>
                <w:rFonts w:ascii="Cambria" w:hAnsi="Cambria"/>
                <w:sz w:val="22"/>
                <w:szCs w:val="22"/>
              </w:rPr>
              <w:t>00 Ft/</w:t>
            </w:r>
            <w:proofErr w:type="spellStart"/>
            <w:r w:rsidRPr="00E83AE0">
              <w:rPr>
                <w:rFonts w:ascii="Cambria" w:hAnsi="Cambria"/>
                <w:sz w:val="22"/>
                <w:szCs w:val="22"/>
              </w:rPr>
              <w:t>alk</w:t>
            </w:r>
            <w:proofErr w:type="spellEnd"/>
            <w:r w:rsidRPr="00E83AE0">
              <w:rPr>
                <w:rFonts w:ascii="Cambria" w:hAnsi="Cambria"/>
                <w:sz w:val="22"/>
                <w:szCs w:val="22"/>
              </w:rPr>
              <w:t xml:space="preserve">. </w:t>
            </w:r>
            <w:r w:rsidRPr="00E83AE0">
              <w:rPr>
                <w:rFonts w:ascii="Cambria" w:hAnsi="Cambria"/>
                <w:b w:val="0"/>
                <w:sz w:val="22"/>
                <w:szCs w:val="22"/>
              </w:rPr>
              <w:t>(min. 5 alkalom előre fizetendő)</w:t>
            </w: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8B277D" w:rsidRPr="00E83AE0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Csomagolt kürtöskalács mozgóárusítása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Központi, Hajóállomási, Polgár-, Szabadság-, Őz-, Őrház u. -, Hullám u., Zagytéri strandok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3</w:t>
            </w:r>
            <w:r>
              <w:rPr>
                <w:rFonts w:ascii="Cambria" w:hAnsi="Cambria"/>
                <w:sz w:val="22"/>
                <w:szCs w:val="22"/>
              </w:rPr>
              <w:t>7</w:t>
            </w:r>
            <w:r w:rsidRPr="00E83AE0">
              <w:rPr>
                <w:rFonts w:ascii="Cambria" w:hAnsi="Cambria"/>
                <w:sz w:val="22"/>
                <w:szCs w:val="22"/>
              </w:rPr>
              <w:t>0.000 Ft</w:t>
            </w:r>
          </w:p>
        </w:tc>
      </w:tr>
      <w:tr w:rsidR="008B277D" w:rsidRPr="007F4DB6" w:rsidTr="00F66132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</w:p>
          <w:p w:rsidR="008B277D" w:rsidRPr="00E83AE0" w:rsidRDefault="008B277D" w:rsidP="00F66132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Főtt kukorica mozgóárusítása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E83AE0" w:rsidRDefault="008B277D" w:rsidP="00F66132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Központi, Hajóállomási, Polgár-, Szabadság-, Őz-, Őrház u.-, Hullám u., Zagytéri strandok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7D" w:rsidRPr="007F4DB6" w:rsidRDefault="008B277D" w:rsidP="00F66132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3</w:t>
            </w:r>
            <w:r>
              <w:rPr>
                <w:rFonts w:ascii="Cambria" w:hAnsi="Cambria"/>
                <w:sz w:val="22"/>
                <w:szCs w:val="22"/>
              </w:rPr>
              <w:t>7</w:t>
            </w:r>
            <w:r w:rsidRPr="00E83AE0">
              <w:rPr>
                <w:rFonts w:ascii="Cambria" w:hAnsi="Cambria"/>
                <w:sz w:val="22"/>
                <w:szCs w:val="22"/>
              </w:rPr>
              <w:t>0.000 Ft</w:t>
            </w:r>
          </w:p>
        </w:tc>
      </w:tr>
    </w:tbl>
    <w:p w:rsidR="008B277D" w:rsidRPr="007F4DB6" w:rsidRDefault="008B277D" w:rsidP="008B277D">
      <w:pPr>
        <w:contextualSpacing/>
        <w:jc w:val="both"/>
        <w:rPr>
          <w:rFonts w:ascii="Cambria" w:hAnsi="Cambria"/>
        </w:rPr>
      </w:pPr>
    </w:p>
    <w:p w:rsidR="008B277D" w:rsidRPr="00D519EB" w:rsidRDefault="008B277D" w:rsidP="008B277D">
      <w:pPr>
        <w:contextualSpacing/>
        <w:jc w:val="both"/>
        <w:rPr>
          <w:rFonts w:ascii="Cambria" w:hAnsi="Cambria"/>
          <w:sz w:val="22"/>
          <w:szCs w:val="22"/>
        </w:rPr>
      </w:pPr>
    </w:p>
    <w:p w:rsidR="008B277D" w:rsidRPr="00D519EB" w:rsidRDefault="008B277D" w:rsidP="008B277D">
      <w:pPr>
        <w:contextualSpacing/>
        <w:jc w:val="center"/>
        <w:rPr>
          <w:rFonts w:ascii="Cambria" w:hAnsi="Cambria"/>
        </w:rPr>
      </w:pPr>
    </w:p>
    <w:p w:rsidR="008B277D" w:rsidRPr="007F4DB6" w:rsidRDefault="008B277D" w:rsidP="008B277D">
      <w:pPr>
        <w:contextualSpacing/>
        <w:jc w:val="center"/>
        <w:rPr>
          <w:rFonts w:ascii="Cambria" w:hAnsi="Cambria"/>
        </w:rPr>
      </w:pPr>
    </w:p>
    <w:p w:rsidR="008B277D" w:rsidRDefault="008B277D" w:rsidP="008B277D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8B277D" w:rsidRDefault="008B277D" w:rsidP="008B277D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427CD4" w:rsidRPr="004C05BE" w:rsidRDefault="00427CD4" w:rsidP="00427CD4">
      <w:pPr>
        <w:shd w:val="clear" w:color="auto" w:fill="FFFFFF"/>
        <w:jc w:val="both"/>
        <w:rPr>
          <w:rFonts w:ascii="Cambria" w:hAnsi="Cambria" w:cs="Calibri"/>
          <w:b/>
          <w:szCs w:val="22"/>
        </w:rPr>
      </w:pPr>
      <w:r w:rsidRPr="004C05BE">
        <w:rPr>
          <w:rFonts w:ascii="Cambria" w:hAnsi="Cambria" w:cs="Calibri"/>
          <w:b/>
          <w:szCs w:val="22"/>
        </w:rPr>
        <w:lastRenderedPageBreak/>
        <w:t>Általános indokolás</w:t>
      </w:r>
    </w:p>
    <w:p w:rsidR="00427CD4" w:rsidRPr="004C05BE" w:rsidRDefault="00427CD4" w:rsidP="00427CD4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427CD4" w:rsidRPr="004C05BE" w:rsidRDefault="00427CD4" w:rsidP="00427CD4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>1.§</w:t>
      </w:r>
      <w:proofErr w:type="spellStart"/>
      <w:r w:rsidRPr="004C05BE">
        <w:rPr>
          <w:rFonts w:ascii="Cambria" w:hAnsi="Cambria" w:cs="Calibri"/>
          <w:szCs w:val="22"/>
        </w:rPr>
        <w:t>-hoz</w:t>
      </w:r>
      <w:proofErr w:type="spellEnd"/>
    </w:p>
    <w:p w:rsidR="00427CD4" w:rsidRPr="004C05BE" w:rsidRDefault="00427CD4" w:rsidP="00427CD4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 xml:space="preserve">A rendelet 1. </w:t>
      </w:r>
      <w:proofErr w:type="gramStart"/>
      <w:r>
        <w:rPr>
          <w:rFonts w:ascii="Cambria" w:hAnsi="Cambria" w:cs="Calibri"/>
          <w:szCs w:val="22"/>
        </w:rPr>
        <w:t>,</w:t>
      </w:r>
      <w:proofErr w:type="gramEnd"/>
      <w:r>
        <w:rPr>
          <w:rFonts w:ascii="Cambria" w:hAnsi="Cambria" w:cs="Calibri"/>
          <w:szCs w:val="22"/>
        </w:rPr>
        <w:t xml:space="preserve">2. </w:t>
      </w:r>
      <w:r w:rsidRPr="004C05BE">
        <w:rPr>
          <w:rFonts w:ascii="Cambria" w:hAnsi="Cambria" w:cs="Calibri"/>
          <w:szCs w:val="22"/>
        </w:rPr>
        <w:t>mellékletének módosítása a díjak megállapítását tartalmazza.</w:t>
      </w:r>
    </w:p>
    <w:p w:rsidR="00427CD4" w:rsidRPr="004C05BE" w:rsidRDefault="00427CD4" w:rsidP="00427CD4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427CD4" w:rsidRDefault="00427CD4" w:rsidP="00427CD4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>2.§</w:t>
      </w:r>
      <w:proofErr w:type="spellStart"/>
      <w:r w:rsidRPr="004C05BE">
        <w:rPr>
          <w:rFonts w:ascii="Cambria" w:hAnsi="Cambria" w:cs="Calibri"/>
          <w:szCs w:val="22"/>
        </w:rPr>
        <w:t>-hoz</w:t>
      </w:r>
      <w:proofErr w:type="spellEnd"/>
    </w:p>
    <w:p w:rsidR="00427CD4" w:rsidRPr="004C05BE" w:rsidRDefault="00427CD4" w:rsidP="00427CD4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4C05BE">
        <w:rPr>
          <w:rFonts w:ascii="Cambria" w:hAnsi="Cambria" w:cs="Calibri"/>
          <w:szCs w:val="22"/>
        </w:rPr>
        <w:t>A hatálybalépésről rendelkezik.</w:t>
      </w:r>
    </w:p>
    <w:p w:rsidR="00427CD4" w:rsidRDefault="00427CD4" w:rsidP="008B277D">
      <w:pPr>
        <w:shd w:val="clear" w:color="auto" w:fill="FFFFFF"/>
        <w:ind w:left="-567" w:right="-457"/>
        <w:rPr>
          <w:rFonts w:ascii="Cambria" w:hAnsi="Cambria"/>
          <w:b/>
        </w:rPr>
      </w:pPr>
    </w:p>
    <w:p w:rsidR="008B277D" w:rsidRPr="007F4DB6" w:rsidRDefault="008B277D" w:rsidP="008B277D">
      <w:pPr>
        <w:shd w:val="clear" w:color="auto" w:fill="FFFFFF"/>
        <w:ind w:left="-567" w:right="-457"/>
        <w:rPr>
          <w:rFonts w:ascii="Cambria" w:hAnsi="Cambria"/>
          <w:b/>
        </w:rPr>
      </w:pPr>
      <w:r w:rsidRPr="007F4DB6">
        <w:rPr>
          <w:rFonts w:ascii="Cambria" w:hAnsi="Cambria"/>
          <w:b/>
        </w:rPr>
        <w:t>TÁJÉKOZTATÓ AZ ELŐZETES HATÁSVIZSGÁLAT EREDMÉNYÉRŐL</w:t>
      </w: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8B277D" w:rsidRPr="007F4DB6" w:rsidTr="00F66132">
        <w:trPr>
          <w:trHeight w:val="993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Rendelet-tervezet címe:</w:t>
            </w:r>
          </w:p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7D" w:rsidRPr="00D519EB" w:rsidRDefault="008B277D" w:rsidP="00F66132">
            <w:pPr>
              <w:contextualSpacing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F4DB6">
              <w:rPr>
                <w:rFonts w:ascii="Cambria" w:hAnsi="Cambria"/>
                <w:b/>
              </w:rPr>
              <w:t xml:space="preserve">Balatonmáriafürdő Község Önkormányzat </w:t>
            </w:r>
            <w:proofErr w:type="gramStart"/>
            <w:r w:rsidRPr="007F4DB6">
              <w:rPr>
                <w:rFonts w:ascii="Cambria" w:hAnsi="Cambria"/>
                <w:b/>
              </w:rPr>
              <w:t>Képviselő-testületének   a</w:t>
            </w:r>
            <w:proofErr w:type="gramEnd"/>
            <w:r w:rsidRPr="007F4DB6">
              <w:rPr>
                <w:rFonts w:ascii="Cambria" w:hAnsi="Cambria"/>
                <w:b/>
              </w:rPr>
              <w:t xml:space="preserve"> közterületek használatáról szóló</w:t>
            </w:r>
            <w:r>
              <w:rPr>
                <w:rFonts w:ascii="Cambria" w:hAnsi="Cambria"/>
                <w:b/>
              </w:rPr>
              <w:t xml:space="preserve"> </w:t>
            </w:r>
            <w:r w:rsidRPr="00D519EB">
              <w:rPr>
                <w:rFonts w:ascii="Cambria" w:hAnsi="Cambria"/>
                <w:b/>
                <w:bCs/>
                <w:sz w:val="22"/>
                <w:szCs w:val="22"/>
              </w:rPr>
              <w:t>6/2018.(III.20.) önkormányzati rendele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t módosítása</w:t>
            </w:r>
          </w:p>
          <w:p w:rsidR="008B277D" w:rsidRPr="007F4DB6" w:rsidRDefault="008B277D" w:rsidP="00F66132">
            <w:pPr>
              <w:shd w:val="clear" w:color="auto" w:fill="FFFFFF"/>
              <w:tabs>
                <w:tab w:val="left" w:pos="3948"/>
              </w:tabs>
              <w:jc w:val="center"/>
              <w:rPr>
                <w:rFonts w:ascii="Cambria" w:hAnsi="Cambria" w:cs="Calibri"/>
              </w:rPr>
            </w:pPr>
          </w:p>
        </w:tc>
      </w:tr>
      <w:tr w:rsidR="008B277D" w:rsidRPr="007F4DB6" w:rsidTr="00F66132">
        <w:trPr>
          <w:trHeight w:val="70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Rendelet-tervezet valamennyi jelentős hatása, különösen</w:t>
            </w:r>
          </w:p>
        </w:tc>
      </w:tr>
      <w:tr w:rsidR="008B277D" w:rsidRPr="007F4DB6" w:rsidTr="00F66132"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Társadalmi, gazdasági </w:t>
            </w:r>
          </w:p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</w:rPr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Környezeti, </w:t>
            </w:r>
          </w:p>
          <w:p w:rsidR="008B277D" w:rsidRPr="007F4DB6" w:rsidRDefault="008B277D" w:rsidP="00F66132">
            <w:pPr>
              <w:shd w:val="clear" w:color="auto" w:fill="FFFFFF"/>
              <w:rPr>
                <w:rFonts w:ascii="Cambria" w:hAnsi="Cambria"/>
              </w:rPr>
            </w:pPr>
            <w:r w:rsidRPr="007F4DB6">
              <w:rPr>
                <w:rFonts w:ascii="Cambria" w:hAnsi="Cambria"/>
              </w:rPr>
              <w:t>egészségügyi</w:t>
            </w:r>
          </w:p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Adminisztratív </w:t>
            </w:r>
          </w:p>
          <w:p w:rsidR="008B277D" w:rsidRPr="007F4DB6" w:rsidRDefault="008B277D" w:rsidP="00F66132">
            <w:pPr>
              <w:shd w:val="clear" w:color="auto" w:fill="FFFFFF"/>
              <w:rPr>
                <w:rFonts w:ascii="Cambria" w:hAnsi="Cambria"/>
              </w:rPr>
            </w:pPr>
            <w:r w:rsidRPr="007F4DB6">
              <w:rPr>
                <w:rFonts w:ascii="Cambria" w:hAnsi="Cambria"/>
              </w:rPr>
              <w:t xml:space="preserve">terheket </w:t>
            </w:r>
          </w:p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Egyéb hatás:</w:t>
            </w:r>
          </w:p>
        </w:tc>
      </w:tr>
      <w:tr w:rsidR="008B277D" w:rsidRPr="007F4DB6" w:rsidTr="00F66132">
        <w:trPr>
          <w:trHeight w:val="3758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277D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 w:cs="Calibri"/>
              </w:rPr>
              <w:t>A közterületek rendeltetésének, és attól eltérő használatának szabályai mindenki által megismerhető, azonos feltételek mentén szabályozott helyi sajátosságoknak, a fenntarthatóság biztosítását célzó szabályozás.</w:t>
            </w:r>
          </w:p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A módosítást az önköltségszámítás teszi szükségessé.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A közterületek fenntartását, az önkormányzat bevételeit biztosítják a díjbevételek.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Az igénybevevők jogait, kötelezettségeit megfogalmazva biztosítja az önkormányzati közterületek kulturált megjelenését, fenntarthatóságát.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Nincs.</w:t>
            </w:r>
          </w:p>
        </w:tc>
      </w:tr>
      <w:tr w:rsidR="008B277D" w:rsidRPr="007F4DB6" w:rsidTr="00F66132">
        <w:trPr>
          <w:trHeight w:val="1024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jc w:val="both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  <w:b/>
              </w:rPr>
              <w:t>A rendelet megalkotása szükséges, mert:</w:t>
            </w:r>
            <w:r w:rsidRPr="007F4DB6">
              <w:rPr>
                <w:rFonts w:ascii="Cambria" w:hAnsi="Cambria"/>
              </w:rPr>
              <w:t xml:space="preserve"> A település által fenntartott közterületek célhoz kötött, vagy rendeltetéstől eltérő használatának szabályai a kulturált közterületi tevékenységeket, a fenntarthatóságot, a kiszámítható díjak, feltételek meghatározása rendeleti formát követel meg. </w:t>
            </w:r>
            <w:r>
              <w:rPr>
                <w:rFonts w:ascii="Cambria" w:hAnsi="Cambria"/>
              </w:rPr>
              <w:t xml:space="preserve">Az önkormányzat felelős gazdálkodását tükrözi, ha a szolgáltatások díja az önköltségszámítás alapján kerül megállapításra. </w:t>
            </w:r>
          </w:p>
        </w:tc>
      </w:tr>
      <w:tr w:rsidR="008B277D" w:rsidRPr="007F4DB6" w:rsidTr="00F66132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A rendelet megalkotásának elmaradása esetén várható következmények:</w:t>
            </w:r>
            <w:r w:rsidRPr="007F4DB6">
              <w:rPr>
                <w:rFonts w:ascii="Cambria" w:hAnsi="Cambria"/>
              </w:rPr>
              <w:t xml:space="preserve"> </w:t>
            </w:r>
          </w:p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</w:rPr>
              <w:t>A közterületek használatának szabályozatlansága azok fenntarthatóságát, rendezettségét gátolná.</w:t>
            </w:r>
          </w:p>
        </w:tc>
      </w:tr>
      <w:tr w:rsidR="008B277D" w:rsidRPr="007F4DB6" w:rsidTr="00F66132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A rendelet alkalmazásához szükséges feltételek:</w:t>
            </w:r>
          </w:p>
        </w:tc>
      </w:tr>
      <w:tr w:rsidR="008B277D" w:rsidRPr="007F4DB6" w:rsidTr="00F66132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Pénzügyi:</w:t>
            </w:r>
          </w:p>
        </w:tc>
      </w:tr>
      <w:tr w:rsidR="008B277D" w:rsidRPr="007F4DB6" w:rsidTr="00F66132">
        <w:trPr>
          <w:trHeight w:val="1024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77D" w:rsidRPr="007F4DB6" w:rsidRDefault="008B277D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</w:tr>
    </w:tbl>
    <w:p w:rsidR="00F97481" w:rsidRDefault="00F97481" w:rsidP="00551BF8">
      <w:bookmarkStart w:id="0" w:name="_GoBack"/>
      <w:bookmarkEnd w:id="0"/>
    </w:p>
    <w:sectPr w:rsidR="00F97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66960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0714DE1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3BD3AEF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3CC5B14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7D"/>
    <w:rsid w:val="00427CD4"/>
    <w:rsid w:val="00551BF8"/>
    <w:rsid w:val="007875EC"/>
    <w:rsid w:val="008B277D"/>
    <w:rsid w:val="00F9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13A12-B297-4BC3-84AD-5499319D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B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8B277D"/>
    <w:pPr>
      <w:tabs>
        <w:tab w:val="left" w:pos="7513"/>
      </w:tabs>
      <w:jc w:val="center"/>
    </w:pPr>
    <w:rPr>
      <w:b/>
      <w:sz w:val="26"/>
      <w:szCs w:val="20"/>
    </w:rPr>
  </w:style>
  <w:style w:type="character" w:customStyle="1" w:styleId="SzvegtrzsChar">
    <w:name w:val="Szövegtörzs Char"/>
    <w:basedOn w:val="Bekezdsalapbettpusa"/>
    <w:link w:val="Szvegtrzs"/>
    <w:rsid w:val="008B277D"/>
    <w:rPr>
      <w:rFonts w:ascii="Times New Roman" w:eastAsia="Times New Roman" w:hAnsi="Times New Roman" w:cs="Times New Roman"/>
      <w:b/>
      <w:sz w:val="2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943</Words>
  <Characters>6512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4</cp:revision>
  <dcterms:created xsi:type="dcterms:W3CDTF">2019-02-12T14:54:00Z</dcterms:created>
  <dcterms:modified xsi:type="dcterms:W3CDTF">2019-02-13T09:05:00Z</dcterms:modified>
</cp:coreProperties>
</file>