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2A4" w:rsidRPr="00BF153B" w:rsidRDefault="000642A4" w:rsidP="000642A4">
      <w:pPr>
        <w:pStyle w:val="Cmsor1"/>
        <w:jc w:val="center"/>
        <w:rPr>
          <w:rFonts w:asciiTheme="majorHAnsi" w:hAnsiTheme="majorHAnsi"/>
          <w:spacing w:val="60"/>
        </w:rPr>
      </w:pPr>
      <w:r w:rsidRPr="00BF153B">
        <w:rPr>
          <w:rFonts w:asciiTheme="majorHAnsi" w:hAnsiTheme="majorHAnsi"/>
          <w:spacing w:val="60"/>
        </w:rPr>
        <w:t>ELŐTERJESZTÉS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  <w:r w:rsidRPr="00BF153B">
        <w:rPr>
          <w:rFonts w:asciiTheme="majorHAnsi" w:hAnsiTheme="majorHAnsi"/>
          <w:b/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32"/>
          <w:szCs w:val="32"/>
        </w:rPr>
      </w:pPr>
      <w:r w:rsidRPr="00BF153B">
        <w:rPr>
          <w:rFonts w:asciiTheme="majorHAnsi" w:hAnsiTheme="majorHAnsi"/>
          <w:b/>
          <w:sz w:val="32"/>
          <w:szCs w:val="32"/>
        </w:rPr>
        <w:t>BALATONMÁRIAFÜRDŐ KÖZSÉG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32"/>
          <w:szCs w:val="32"/>
        </w:rPr>
      </w:pPr>
      <w:r w:rsidRPr="00BF153B">
        <w:rPr>
          <w:rFonts w:asciiTheme="majorHAnsi" w:hAnsiTheme="majorHAnsi"/>
          <w:b/>
          <w:sz w:val="32"/>
          <w:szCs w:val="32"/>
        </w:rPr>
        <w:t>ÖNKORMÁNYZAT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32"/>
          <w:szCs w:val="32"/>
        </w:rPr>
      </w:pPr>
      <w:r w:rsidRPr="00BF153B">
        <w:rPr>
          <w:rFonts w:asciiTheme="majorHAnsi" w:hAnsiTheme="majorHAnsi"/>
          <w:b/>
          <w:sz w:val="32"/>
          <w:szCs w:val="32"/>
        </w:rPr>
        <w:t>KÉPVISELŐ-TESTÜLETÉNEK</w:t>
      </w:r>
    </w:p>
    <w:p w:rsidR="000642A4" w:rsidRPr="00BF153B" w:rsidRDefault="000642A4" w:rsidP="000642A4">
      <w:pPr>
        <w:jc w:val="center"/>
        <w:rPr>
          <w:rFonts w:asciiTheme="majorHAnsi" w:hAnsiTheme="majorHAnsi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28"/>
        </w:rPr>
      </w:pPr>
    </w:p>
    <w:p w:rsidR="000642A4" w:rsidRPr="00BF153B" w:rsidRDefault="00F52F78" w:rsidP="000642A4">
      <w:pPr>
        <w:pStyle w:val="FCm"/>
        <w:keepNext w:val="0"/>
        <w:keepLines w:val="0"/>
        <w:spacing w:before="0" w:after="0"/>
        <w:rPr>
          <w:rFonts w:asciiTheme="majorHAnsi" w:hAnsiTheme="majorHAnsi"/>
          <w:szCs w:val="28"/>
        </w:rPr>
      </w:pPr>
      <w:r w:rsidRPr="00BF153B">
        <w:rPr>
          <w:rFonts w:asciiTheme="majorHAnsi" w:hAnsiTheme="majorHAnsi"/>
          <w:sz w:val="32"/>
          <w:szCs w:val="32"/>
        </w:rPr>
        <w:t>2020. március 16-ai</w:t>
      </w:r>
      <w:r w:rsidR="000642A4" w:rsidRPr="00BF153B">
        <w:rPr>
          <w:rFonts w:asciiTheme="majorHAnsi" w:hAnsiTheme="majorHAnsi"/>
          <w:sz w:val="32"/>
          <w:szCs w:val="32"/>
        </w:rPr>
        <w:t xml:space="preserve"> </w:t>
      </w:r>
      <w:r w:rsidR="000642A4" w:rsidRPr="00BF153B">
        <w:rPr>
          <w:rFonts w:asciiTheme="majorHAnsi" w:hAnsiTheme="majorHAnsi"/>
          <w:szCs w:val="28"/>
        </w:rPr>
        <w:t>NYILVÁNOS ÜLÉSÉRE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28"/>
          <w:szCs w:val="28"/>
        </w:rPr>
      </w:pPr>
      <w:r w:rsidRPr="00BF153B">
        <w:rPr>
          <w:rFonts w:asciiTheme="majorHAnsi" w:hAnsiTheme="majorHAnsi"/>
          <w:b/>
          <w:sz w:val="28"/>
          <w:szCs w:val="28"/>
        </w:rPr>
        <w:t>TÁRGY: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  <w:sz w:val="22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  <w:r w:rsidRPr="00BF153B">
        <w:rPr>
          <w:rFonts w:asciiTheme="majorHAnsi" w:hAnsiTheme="majorHAnsi"/>
          <w:b/>
          <w:caps/>
          <w:sz w:val="28"/>
          <w:szCs w:val="28"/>
        </w:rPr>
        <w:t>vagyongazdálkodásról szóló önkormányzati rendelet felülvizsgálata</w:t>
      </w: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642A4" w:rsidRPr="00BF153B" w:rsidRDefault="000642A4" w:rsidP="000642A4">
      <w:pPr>
        <w:jc w:val="center"/>
        <w:rPr>
          <w:rFonts w:asciiTheme="majorHAnsi" w:hAnsiTheme="majorHAnsi"/>
          <w:b/>
          <w:caps/>
          <w:sz w:val="28"/>
          <w:szCs w:val="28"/>
        </w:rPr>
      </w:pPr>
      <w:r w:rsidRPr="00BF153B">
        <w:rPr>
          <w:rFonts w:asciiTheme="majorHAnsi" w:hAnsiTheme="majorHAnsi"/>
          <w:b/>
          <w:caps/>
          <w:sz w:val="28"/>
          <w:szCs w:val="28"/>
        </w:rPr>
        <w:t>ELŐADÓ:</w:t>
      </w:r>
    </w:p>
    <w:p w:rsidR="000642A4" w:rsidRPr="00BF153B" w:rsidRDefault="000642A4" w:rsidP="000642A4">
      <w:pPr>
        <w:pStyle w:val="Cmsor8"/>
        <w:spacing w:before="0"/>
        <w:jc w:val="center"/>
        <w:rPr>
          <w:rFonts w:asciiTheme="majorHAnsi" w:hAnsiTheme="majorHAnsi"/>
          <w:b/>
          <w:i w:val="0"/>
          <w:iCs w:val="0"/>
          <w:caps/>
          <w:sz w:val="28"/>
          <w:szCs w:val="28"/>
        </w:rPr>
      </w:pPr>
      <w:r w:rsidRPr="00BF153B">
        <w:rPr>
          <w:rFonts w:asciiTheme="majorHAnsi" w:hAnsiTheme="majorHAnsi"/>
          <w:b/>
          <w:i w:val="0"/>
          <w:iCs w:val="0"/>
          <w:caps/>
          <w:sz w:val="28"/>
          <w:szCs w:val="28"/>
        </w:rPr>
        <w:t>mestyán valéria</w:t>
      </w:r>
    </w:p>
    <w:p w:rsidR="000642A4" w:rsidRPr="00BF153B" w:rsidRDefault="000642A4" w:rsidP="000642A4">
      <w:pPr>
        <w:jc w:val="center"/>
        <w:rPr>
          <w:rFonts w:asciiTheme="majorHAnsi" w:hAnsiTheme="majorHAnsi"/>
          <w:sz w:val="22"/>
        </w:rPr>
      </w:pPr>
      <w:r w:rsidRPr="00BF153B">
        <w:rPr>
          <w:rFonts w:asciiTheme="majorHAnsi" w:hAnsiTheme="majorHAnsi"/>
          <w:b/>
          <w:caps/>
          <w:sz w:val="28"/>
          <w:szCs w:val="28"/>
        </w:rPr>
        <w:t>címzetes főjegyző</w:t>
      </w:r>
    </w:p>
    <w:p w:rsidR="000642A4" w:rsidRPr="00BF153B" w:rsidRDefault="000642A4" w:rsidP="000642A4">
      <w:pPr>
        <w:jc w:val="both"/>
        <w:rPr>
          <w:rFonts w:asciiTheme="majorHAnsi" w:hAnsiTheme="majorHAnsi"/>
          <w:sz w:val="22"/>
        </w:rPr>
      </w:pPr>
    </w:p>
    <w:p w:rsidR="000642A4" w:rsidRPr="00BF153B" w:rsidRDefault="000642A4" w:rsidP="000642A4">
      <w:pPr>
        <w:jc w:val="both"/>
        <w:rPr>
          <w:rFonts w:asciiTheme="majorHAnsi" w:hAnsiTheme="majorHAnsi"/>
          <w:sz w:val="22"/>
        </w:rPr>
      </w:pPr>
    </w:p>
    <w:p w:rsidR="00BF153B" w:rsidRPr="00BF153B" w:rsidRDefault="00BF153B" w:rsidP="00BF153B">
      <w:pPr>
        <w:pStyle w:val="Cm"/>
        <w:tabs>
          <w:tab w:val="left" w:pos="0"/>
        </w:tabs>
        <w:outlineLvl w:val="0"/>
        <w:rPr>
          <w:rFonts w:asciiTheme="majorHAnsi" w:hAnsiTheme="majorHAnsi"/>
          <w:sz w:val="32"/>
          <w:szCs w:val="24"/>
        </w:rPr>
      </w:pPr>
      <w:r w:rsidRPr="00BF153B">
        <w:rPr>
          <w:rFonts w:asciiTheme="majorHAnsi" w:hAnsiTheme="majorHAnsi"/>
          <w:sz w:val="32"/>
          <w:szCs w:val="24"/>
        </w:rPr>
        <w:lastRenderedPageBreak/>
        <w:t>ELŐTERJESZTÉS</w:t>
      </w:r>
    </w:p>
    <w:p w:rsidR="00BF153B" w:rsidRPr="00BF153B" w:rsidRDefault="00BF153B" w:rsidP="00BF153B">
      <w:pPr>
        <w:tabs>
          <w:tab w:val="left" w:pos="0"/>
          <w:tab w:val="left" w:pos="3686"/>
        </w:tabs>
        <w:ind w:hanging="900"/>
        <w:jc w:val="both"/>
        <w:rPr>
          <w:rFonts w:asciiTheme="majorHAnsi" w:hAnsiTheme="majorHAnsi"/>
          <w:sz w:val="32"/>
        </w:rPr>
      </w:pPr>
    </w:p>
    <w:p w:rsidR="00BF153B" w:rsidRPr="00BF153B" w:rsidRDefault="00BF153B" w:rsidP="00BF153B">
      <w:pPr>
        <w:tabs>
          <w:tab w:val="left" w:pos="0"/>
        </w:tabs>
        <w:jc w:val="both"/>
        <w:rPr>
          <w:rFonts w:asciiTheme="majorHAnsi" w:hAnsiTheme="majorHAnsi"/>
          <w:bCs/>
        </w:rPr>
      </w:pPr>
      <w:r w:rsidRPr="00BF153B">
        <w:rPr>
          <w:rFonts w:asciiTheme="majorHAnsi" w:hAnsiTheme="majorHAnsi"/>
          <w:b/>
          <w:bCs/>
        </w:rPr>
        <w:t>Készült:</w:t>
      </w:r>
      <w:r w:rsidRPr="00BF153B">
        <w:rPr>
          <w:rFonts w:asciiTheme="majorHAnsi" w:hAnsiTheme="majorHAnsi"/>
          <w:bCs/>
        </w:rPr>
        <w:tab/>
        <w:t>Balatonmáriafürdő Község Önkormányzati Képviselő-testületének 2020. március 16-ai nyilvános testületi ülésére</w:t>
      </w:r>
    </w:p>
    <w:p w:rsidR="00BF153B" w:rsidRPr="00BF153B" w:rsidRDefault="00BF153B" w:rsidP="00BF153B">
      <w:pPr>
        <w:tabs>
          <w:tab w:val="left" w:pos="0"/>
        </w:tabs>
        <w:jc w:val="both"/>
        <w:rPr>
          <w:rFonts w:asciiTheme="majorHAnsi" w:hAnsiTheme="majorHAnsi"/>
          <w:bCs/>
        </w:rPr>
      </w:pPr>
    </w:p>
    <w:p w:rsidR="00BF153B" w:rsidRPr="00BF153B" w:rsidRDefault="00BF153B" w:rsidP="00BF153B">
      <w:pPr>
        <w:rPr>
          <w:rFonts w:asciiTheme="majorHAnsi" w:hAnsiTheme="majorHAnsi"/>
          <w:b/>
          <w:caps/>
          <w:sz w:val="28"/>
          <w:szCs w:val="28"/>
        </w:rPr>
      </w:pPr>
      <w:r w:rsidRPr="00BF153B">
        <w:rPr>
          <w:rFonts w:asciiTheme="majorHAnsi" w:hAnsiTheme="majorHAnsi"/>
          <w:b/>
          <w:bCs/>
        </w:rPr>
        <w:t>Tárgy:</w:t>
      </w:r>
      <w:r w:rsidRPr="00BF153B">
        <w:rPr>
          <w:rFonts w:asciiTheme="majorHAnsi" w:hAnsiTheme="majorHAnsi"/>
        </w:rPr>
        <w:t xml:space="preserve"> </w:t>
      </w:r>
      <w:r w:rsidRPr="00BF153B">
        <w:rPr>
          <w:rFonts w:asciiTheme="majorHAnsi" w:hAnsiTheme="majorHAnsi"/>
        </w:rPr>
        <w:tab/>
      </w:r>
      <w:r>
        <w:rPr>
          <w:rFonts w:asciiTheme="majorHAnsi" w:hAnsiTheme="majorHAnsi"/>
        </w:rPr>
        <w:t>V</w:t>
      </w:r>
      <w:r w:rsidRPr="00BF153B">
        <w:rPr>
          <w:rFonts w:asciiTheme="majorHAnsi" w:hAnsiTheme="majorHAnsi"/>
          <w:bCs/>
        </w:rPr>
        <w:t>agyongazdálkodásról szóló önkormányzati rendelet felülvizsgálata</w:t>
      </w:r>
    </w:p>
    <w:p w:rsidR="00BF153B" w:rsidRPr="00BF153B" w:rsidRDefault="00BF153B" w:rsidP="00BF153B">
      <w:pPr>
        <w:tabs>
          <w:tab w:val="left" w:pos="0"/>
        </w:tabs>
        <w:jc w:val="both"/>
        <w:rPr>
          <w:rFonts w:asciiTheme="majorHAnsi" w:hAnsiTheme="majorHAnsi"/>
        </w:rPr>
      </w:pPr>
    </w:p>
    <w:p w:rsidR="00BF153B" w:rsidRPr="00BF153B" w:rsidRDefault="00BF153B" w:rsidP="00BF153B">
      <w:pPr>
        <w:tabs>
          <w:tab w:val="left" w:pos="0"/>
        </w:tabs>
        <w:ind w:hanging="900"/>
        <w:jc w:val="both"/>
        <w:rPr>
          <w:rFonts w:asciiTheme="majorHAnsi" w:hAnsiTheme="majorHAnsi"/>
        </w:rPr>
      </w:pPr>
    </w:p>
    <w:p w:rsidR="00BF153B" w:rsidRPr="00BF153B" w:rsidRDefault="00BF153B" w:rsidP="00BF153B">
      <w:pPr>
        <w:tabs>
          <w:tab w:val="left" w:pos="0"/>
          <w:tab w:val="left" w:pos="3686"/>
        </w:tabs>
        <w:jc w:val="both"/>
        <w:outlineLvl w:val="0"/>
        <w:rPr>
          <w:rFonts w:asciiTheme="majorHAnsi" w:hAnsiTheme="majorHAnsi"/>
          <w:b/>
        </w:rPr>
      </w:pPr>
      <w:r w:rsidRPr="00BF153B">
        <w:rPr>
          <w:rFonts w:asciiTheme="majorHAnsi" w:hAnsiTheme="majorHAnsi"/>
          <w:b/>
        </w:rPr>
        <w:t>Tisztelt Képviselő-testület!</w:t>
      </w:r>
    </w:p>
    <w:p w:rsidR="000642A4" w:rsidRPr="00BF153B" w:rsidRDefault="000642A4" w:rsidP="000642A4">
      <w:pPr>
        <w:jc w:val="both"/>
        <w:rPr>
          <w:rFonts w:asciiTheme="majorHAnsi" w:hAnsiTheme="majorHAnsi" w:cs="Calibri Light"/>
          <w:sz w:val="20"/>
          <w:szCs w:val="20"/>
        </w:rPr>
      </w:pPr>
    </w:p>
    <w:p w:rsidR="000642A4" w:rsidRPr="00BF153B" w:rsidRDefault="000642A4" w:rsidP="000642A4">
      <w:pPr>
        <w:jc w:val="both"/>
        <w:rPr>
          <w:rFonts w:asciiTheme="majorHAnsi" w:hAnsiTheme="majorHAnsi" w:cs="Calibri Light"/>
          <w:szCs w:val="24"/>
        </w:rPr>
      </w:pPr>
      <w:bookmarkStart w:id="0" w:name="_GoBack"/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proofErr w:type="gramStart"/>
      <w:r w:rsidRPr="00BF153B">
        <w:rPr>
          <w:rFonts w:asciiTheme="majorHAnsi" w:hAnsiTheme="majorHAnsi" w:cs="Calibri Light"/>
          <w:sz w:val="24"/>
          <w:szCs w:val="24"/>
        </w:rPr>
        <w:t>Balatonmáriafürdő  vagyonában</w:t>
      </w:r>
      <w:proofErr w:type="gramEnd"/>
      <w:r w:rsidRPr="00BF153B">
        <w:rPr>
          <w:rFonts w:asciiTheme="majorHAnsi" w:hAnsiTheme="majorHAnsi" w:cs="Calibri Light"/>
          <w:sz w:val="24"/>
          <w:szCs w:val="24"/>
        </w:rPr>
        <w:t xml:space="preserve"> 2018. évben az alábbi változások történtek:</w:t>
      </w:r>
    </w:p>
    <w:p w:rsidR="000642A4" w:rsidRPr="00BF153B" w:rsidRDefault="000642A4" w:rsidP="000642A4">
      <w:pPr>
        <w:jc w:val="both"/>
        <w:rPr>
          <w:rFonts w:asciiTheme="majorHAnsi" w:hAnsiTheme="majorHAnsi" w:cs="Calibri Light"/>
          <w:szCs w:val="24"/>
        </w:rPr>
      </w:pPr>
    </w:p>
    <w:p w:rsidR="000642A4" w:rsidRPr="00BF153B" w:rsidRDefault="000642A4" w:rsidP="000642A4">
      <w:pPr>
        <w:jc w:val="both"/>
        <w:rPr>
          <w:rFonts w:asciiTheme="majorHAnsi" w:hAnsiTheme="majorHAnsi" w:cs="Calibri Light"/>
          <w:szCs w:val="24"/>
        </w:rPr>
      </w:pPr>
    </w:p>
    <w:tbl>
      <w:tblPr>
        <w:tblW w:w="951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701"/>
        <w:gridCol w:w="5670"/>
        <w:gridCol w:w="1560"/>
      </w:tblGrid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  <w:t>Telek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Hrsz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Megnevezés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Összeg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157/2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Vilma u. 98. - Hétvégi ház, udvar - Telekrész vásárlás Bencs Bence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404 000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157/2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Vilma u. 98. - Hétvégi ház, udvar - Telekrész vásárlás Bencs Bettina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404 000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424/7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Társasház Keszeg 12. Telek - Értékesítés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-660 000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148 000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  <w:t>Épület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Hrsz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Megnevezés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Összeg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strand - Kölcsönző épület felújítása (N8)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17 489 413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strand - WC épület felújítása (P10)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7 384 957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209/15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Központi fizető strand - Múzeum felújítása (N15)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11 886 110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WC épület felújítása (R28)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5 772 512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424/7/B/2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Társasház földszint - Értékesítés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-7 463 998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424/7/B/8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Társasház emelet - Értékesítés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-6 421 817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28 647 177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  <w:t>Építmény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u w:val="single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Hrsz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Kapcsolódó hrsz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Megnevezés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Összeg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1077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Közterület - Őrház utca - Belvízvédelmi rendszer </w:t>
            </w: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lastRenderedPageBreak/>
              <w:t>korszerűsítése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lastRenderedPageBreak/>
              <w:t>3 044 963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Balaton utca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4 540 711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347/4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Rákóczi u.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55 530 396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Közút - Bárdos L.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1 791 042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Csendes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291 395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Vilma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11 167 171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196/4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Alkotás parkoló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11 029 613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547/2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Dózsa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3 243 099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157/1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202/2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Alkotás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37 014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157/1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201/7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Alkotás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3 028 356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Közút - Faluház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6 706 620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1477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Akácfa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82 650 237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Keszeg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24 865 001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443/1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Vasúti s.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17 370 445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Közút - Bárdos L.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1 323 644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Közpark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37 013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1076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Őrház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3 359 053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1427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Belvízvédelmi rendszer korszerűsítése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2 076 590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Fedett kerékpártároló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820 000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Közvilágítás korszerűsítés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840 000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Cuccmegőrző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1 500 000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Családbarát öltöző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1 700 000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- 2 személyes öltözőfülke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1 200 000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Hajóállomás - szabadstrand - Tereprendezés, 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fűvesítés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1 187 860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Közvilágítás korszerűsítés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560 000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Játszótér felújítás (P28)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5 068 650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Hajóállomás - szabadstrand - Járda felújítás (U12)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632 140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134/1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Közút - Pillangó utca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273 600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lastRenderedPageBreak/>
              <w:t>157/1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Alkotás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1 650 000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7/3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Tavasz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450 000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169/7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Gogol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384 000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169/17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Radnóti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302 400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1505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Cserfa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792 000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1467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Közterület - Bükkfa - Belterületi utak felújítása (U2)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828 000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209/15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Vízbejáró lépcső 2 db Átvezetés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Gép,berendezésre</w:t>
            </w:r>
            <w:proofErr w:type="gramEnd"/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 (P27)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-975 000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500/11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Vízbejáró stégelem 22 db Átvezetés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Gép,berendezésre</w:t>
            </w:r>
            <w:proofErr w:type="gramEnd"/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 (P17)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-2 702 752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347/4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Zárt csapadékvíz elvezető csatorna - Selejtezés kiváltás miatt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-2 194 360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Fedett kerékpártároló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820 000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Napvitorla (3 db sziget)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990 000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Cuccmegőrző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1 500 000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- 2 személyes öltözőfülke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1 200 000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Családbarát öltöző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1 700 000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Tereprendezés, füvesítés, fatelepítés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2 489 501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Strandröplabdapálya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1 250 000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Közvilágítás korszerűsítés (P10)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2 100 000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Kőzúzalékos tereprendezés (U14)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3 324 500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Sétány felújítás (U14)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10 229 313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Strandi móló felújítása (U14)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3 825 215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Streetballpálya felújítása (P20)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2 350 000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1175/3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Hullám utcai szabadstrand - Játszótér felújítás (P26)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6 569 550 Ft</w:t>
            </w:r>
          </w:p>
        </w:tc>
      </w:tr>
      <w:tr w:rsidR="000642A4" w:rsidRPr="00BF153B" w:rsidTr="000642A4">
        <w:trPr>
          <w:trHeight w:val="3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1612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Vízbejáró stégelem 7 db Átvezetés Gép, berendezésre (P6)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-469 000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12114811 összesen: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282 287 980 Ft</w:t>
            </w: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</w:tr>
      <w:tr w:rsidR="000642A4" w:rsidRPr="00BF153B" w:rsidTr="000642A4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3E2093" w:rsidP="000642A4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Mindösszesen változás: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0642A4">
            <w:pPr>
              <w:jc w:val="right"/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color w:val="000000"/>
                <w:szCs w:val="24"/>
                <w:lang w:eastAsia="hu-HU"/>
              </w:rPr>
              <w:t>311 083 157 Ft</w:t>
            </w:r>
          </w:p>
        </w:tc>
      </w:tr>
    </w:tbl>
    <w:p w:rsidR="00026474" w:rsidRPr="00BF153B" w:rsidRDefault="00026474">
      <w:pPr>
        <w:rPr>
          <w:rFonts w:asciiTheme="majorHAnsi" w:hAnsiTheme="majorHAnsi" w:cs="Calibri Light"/>
          <w:szCs w:val="24"/>
        </w:rPr>
      </w:pPr>
    </w:p>
    <w:p w:rsidR="000642A4" w:rsidRPr="00BF153B" w:rsidRDefault="000642A4">
      <w:pPr>
        <w:rPr>
          <w:rFonts w:asciiTheme="majorHAnsi" w:hAnsiTheme="majorHAnsi" w:cs="Calibri Light"/>
          <w:szCs w:val="24"/>
        </w:rPr>
      </w:pPr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F52F78" w:rsidRPr="00BF153B" w:rsidRDefault="00F52F78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F52F78" w:rsidRPr="00BF153B" w:rsidRDefault="00F52F78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F52F78" w:rsidRPr="00BF153B" w:rsidRDefault="00F52F78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Balatonmáriafürdő vagyonának alakulása:</w:t>
      </w:r>
    </w:p>
    <w:p w:rsidR="00F52F78" w:rsidRPr="00BF153B" w:rsidRDefault="00F52F78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9"/>
        <w:gridCol w:w="1276"/>
        <w:gridCol w:w="1134"/>
        <w:gridCol w:w="992"/>
        <w:gridCol w:w="1134"/>
        <w:gridCol w:w="992"/>
        <w:gridCol w:w="1134"/>
        <w:gridCol w:w="1033"/>
      </w:tblGrid>
      <w:tr w:rsidR="000642A4" w:rsidRPr="00BF153B" w:rsidTr="000642A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2A4" w:rsidRPr="00BF153B" w:rsidRDefault="000642A4" w:rsidP="000642A4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2019</w:t>
            </w:r>
          </w:p>
        </w:tc>
      </w:tr>
      <w:tr w:rsidR="000642A4" w:rsidRPr="00BF153B" w:rsidTr="000642A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forgalomképes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310 547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310 688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314 792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324 793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351 912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346 044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0642A4" w:rsidRPr="00BF153B" w:rsidRDefault="003E2093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345 725</w:t>
            </w:r>
          </w:p>
        </w:tc>
      </w:tr>
      <w:tr w:rsidR="000642A4" w:rsidRPr="00BF153B" w:rsidTr="000642A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lastRenderedPageBreak/>
              <w:t>korlátozottan forgalomképes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386 434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384 918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420 661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426 635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439 999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563 637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</w:tcPr>
          <w:p w:rsidR="000642A4" w:rsidRPr="00BF153B" w:rsidRDefault="003E2093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607 778</w:t>
            </w:r>
          </w:p>
        </w:tc>
      </w:tr>
      <w:tr w:rsidR="000642A4" w:rsidRPr="00BF153B" w:rsidTr="000642A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forgalomképtelen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3 642 995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3 675 400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3 714 252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4 412 322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3 877 858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3 821 264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:rsidR="000642A4" w:rsidRPr="00BF153B" w:rsidRDefault="003E2093" w:rsidP="003E2093">
            <w:pPr>
              <w:jc w:val="right"/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 xml:space="preserve">4 088 525  </w:t>
            </w:r>
          </w:p>
        </w:tc>
      </w:tr>
      <w:tr w:rsidR="000642A4" w:rsidRPr="00BF153B" w:rsidTr="000642A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color w:val="000000"/>
                <w:szCs w:val="24"/>
                <w:lang w:eastAsia="hu-HU"/>
              </w:rPr>
              <w:t>összesen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4 339 976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4 371 006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4 449 705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5 163 750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4 669 769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42A4" w:rsidRPr="00BF153B" w:rsidRDefault="000642A4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4 730</w:t>
            </w:r>
            <w:r w:rsidR="00D52F9D"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 </w:t>
            </w: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:rsidR="00D52F9D" w:rsidRPr="00BF153B" w:rsidRDefault="00D52F9D" w:rsidP="003E2093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</w:p>
          <w:p w:rsidR="000642A4" w:rsidRPr="00BF153B" w:rsidRDefault="00D52F9D" w:rsidP="00D52F9D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5 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b/>
                <w:color w:val="000000"/>
                <w:szCs w:val="24"/>
                <w:lang w:eastAsia="hu-HU"/>
              </w:rPr>
              <w:t>042  028</w:t>
            </w:r>
            <w:proofErr w:type="gramEnd"/>
          </w:p>
        </w:tc>
      </w:tr>
    </w:tbl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>Balatonmáriafürdő Önkormányzat vagyona 2019. évben</w:t>
      </w:r>
      <w:r w:rsidR="00D52F9D" w:rsidRPr="00BF153B">
        <w:rPr>
          <w:rFonts w:asciiTheme="majorHAnsi" w:hAnsiTheme="majorHAnsi" w:cs="Calibri Light"/>
          <w:b/>
          <w:sz w:val="24"/>
          <w:szCs w:val="24"/>
        </w:rPr>
        <w:t xml:space="preserve"> 311 </w:t>
      </w:r>
      <w:proofErr w:type="gramStart"/>
      <w:r w:rsidR="00D52F9D" w:rsidRPr="00BF153B">
        <w:rPr>
          <w:rFonts w:asciiTheme="majorHAnsi" w:hAnsiTheme="majorHAnsi" w:cs="Calibri Light"/>
          <w:b/>
          <w:sz w:val="24"/>
          <w:szCs w:val="24"/>
        </w:rPr>
        <w:t xml:space="preserve">083 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 e</w:t>
      </w:r>
      <w:proofErr w:type="gramEnd"/>
      <w:r w:rsidRPr="00BF153B">
        <w:rPr>
          <w:rFonts w:asciiTheme="majorHAnsi" w:hAnsiTheme="majorHAnsi" w:cs="Calibri Light"/>
          <w:b/>
          <w:sz w:val="24"/>
          <w:szCs w:val="24"/>
        </w:rPr>
        <w:t xml:space="preserve"> Ft-tal változott, növekedett. </w:t>
      </w:r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</w:p>
    <w:p w:rsidR="000642A4" w:rsidRPr="00BF153B" w:rsidRDefault="000642A4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 xml:space="preserve">Kérem, hogy vagyongazdálkodásról szóló </w:t>
      </w:r>
      <w:r w:rsidR="003E2093" w:rsidRPr="00BF153B">
        <w:rPr>
          <w:rFonts w:asciiTheme="majorHAnsi" w:hAnsiTheme="majorHAnsi" w:cs="Calibri Light"/>
          <w:sz w:val="24"/>
          <w:szCs w:val="24"/>
        </w:rPr>
        <w:t>rendeletünk módosítását a melléklet szerint elfogadni szíveskedjenek.</w:t>
      </w:r>
    </w:p>
    <w:p w:rsidR="003E2093" w:rsidRPr="00BF153B" w:rsidRDefault="003E2093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Balatonmáriafürdő, 2020. 03. 09.</w:t>
      </w: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jc w:val="right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Mestyán Valéria</w:t>
      </w:r>
    </w:p>
    <w:p w:rsidR="003E2093" w:rsidRPr="00BF153B" w:rsidRDefault="003E2093" w:rsidP="003E2093">
      <w:pPr>
        <w:pStyle w:val="Szvegtrzs3"/>
        <w:spacing w:after="0"/>
        <w:jc w:val="right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címzetes főjegyző</w:t>
      </w:r>
    </w:p>
    <w:p w:rsidR="003E2093" w:rsidRPr="00BF153B" w:rsidRDefault="003E2093" w:rsidP="003E2093">
      <w:pPr>
        <w:rPr>
          <w:rFonts w:asciiTheme="majorHAnsi" w:hAnsiTheme="majorHAnsi" w:cs="Calibri Light"/>
          <w:b/>
          <w:color w:val="231F20"/>
          <w:spacing w:val="-2"/>
          <w:szCs w:val="24"/>
        </w:rPr>
      </w:pPr>
    </w:p>
    <w:p w:rsidR="003E2093" w:rsidRPr="00BF153B" w:rsidRDefault="003E2093" w:rsidP="003E2093">
      <w:pPr>
        <w:jc w:val="center"/>
        <w:rPr>
          <w:rFonts w:asciiTheme="majorHAnsi" w:hAnsiTheme="majorHAnsi" w:cs="Calibri Light"/>
          <w:b/>
          <w:color w:val="231F20"/>
          <w:spacing w:val="-2"/>
          <w:szCs w:val="24"/>
        </w:rPr>
      </w:pPr>
    </w:p>
    <w:p w:rsidR="003E2093" w:rsidRPr="00BF153B" w:rsidRDefault="003E2093" w:rsidP="003E2093">
      <w:pPr>
        <w:jc w:val="center"/>
        <w:rPr>
          <w:rFonts w:asciiTheme="majorHAnsi" w:hAnsiTheme="majorHAnsi" w:cs="Calibri Light"/>
          <w:b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Előzetes hatásvizsgálati lap</w:t>
      </w:r>
    </w:p>
    <w:p w:rsidR="003E2093" w:rsidRPr="00BF153B" w:rsidRDefault="003E2093" w:rsidP="003E2093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 xml:space="preserve">az önkormányzati vagyongazdálkodásról </w:t>
      </w:r>
      <w:proofErr w:type="gramStart"/>
      <w:r w:rsidRPr="00BF153B">
        <w:rPr>
          <w:rFonts w:asciiTheme="majorHAnsi" w:hAnsiTheme="majorHAnsi" w:cs="Calibri Light"/>
          <w:b/>
          <w:sz w:val="24"/>
          <w:szCs w:val="24"/>
        </w:rPr>
        <w:t>szóló  6</w:t>
      </w:r>
      <w:proofErr w:type="gramEnd"/>
      <w:r w:rsidRPr="00BF153B">
        <w:rPr>
          <w:rFonts w:asciiTheme="majorHAnsi" w:hAnsiTheme="majorHAnsi" w:cs="Calibri Light"/>
          <w:b/>
          <w:sz w:val="24"/>
          <w:szCs w:val="24"/>
        </w:rPr>
        <w:t xml:space="preserve">/2013.(IV.17.) önkormányzati rendelet módosításáról </w:t>
      </w:r>
      <w:r w:rsidRPr="00BF153B">
        <w:rPr>
          <w:rFonts w:asciiTheme="majorHAnsi" w:hAnsiTheme="majorHAnsi" w:cs="Calibri Light"/>
          <w:b/>
          <w:color w:val="231F20"/>
          <w:spacing w:val="-2"/>
          <w:sz w:val="24"/>
          <w:szCs w:val="24"/>
        </w:rPr>
        <w:t>szóló önkormányzati rendelet megalkotásához</w:t>
      </w:r>
    </w:p>
    <w:p w:rsidR="003E2093" w:rsidRPr="00BF153B" w:rsidRDefault="003E2093" w:rsidP="003E2093">
      <w:pPr>
        <w:jc w:val="center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(a jogalkotásról szóló 2010. évi CXXX. törvény 17.§-a alapján)</w:t>
      </w:r>
    </w:p>
    <w:p w:rsidR="003E2093" w:rsidRPr="00BF153B" w:rsidRDefault="003E2093" w:rsidP="003E2093">
      <w:pPr>
        <w:rPr>
          <w:rFonts w:asciiTheme="majorHAnsi" w:hAnsiTheme="majorHAnsi" w:cs="Calibri Light"/>
          <w:color w:val="231F20"/>
          <w:spacing w:val="-2"/>
          <w:szCs w:val="24"/>
        </w:rPr>
      </w:pPr>
    </w:p>
    <w:p w:rsidR="003E2093" w:rsidRPr="00BF153B" w:rsidRDefault="003E2093" w:rsidP="003E2093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jogszabály megalkotásának célja:</w:t>
      </w:r>
    </w:p>
    <w:p w:rsidR="003E2093" w:rsidRPr="00BF153B" w:rsidRDefault="003E2093" w:rsidP="003E2093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proofErr w:type="gramStart"/>
      <w:r w:rsidRPr="00BF153B">
        <w:rPr>
          <w:rFonts w:asciiTheme="majorHAnsi" w:hAnsiTheme="majorHAnsi" w:cs="Calibri Light"/>
          <w:color w:val="231F20"/>
          <w:spacing w:val="-2"/>
          <w:szCs w:val="24"/>
        </w:rPr>
        <w:t>A  2019.</w:t>
      </w:r>
      <w:proofErr w:type="gramEnd"/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évi zárszámadás elfogadása előtt szükséges az önkormányzat vagyongazdálkodásáról szóló rendelet áttekintése, elsősorban a vagyonváltozások átvezetése miatt. </w:t>
      </w:r>
    </w:p>
    <w:p w:rsidR="003E2093" w:rsidRPr="00BF153B" w:rsidRDefault="003E2093" w:rsidP="003E2093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tervezett jogszabály várható következményei, különösen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társadalmi hatás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rendeletnek közvetlen társadalmi hatása nincs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gazdasági hatása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Az önkormányzat vagyonának növekedése mindenki számára nyilvánvalóan érzékelhető.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költségvetési hatásai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tervezetnek költségvetési hatása nincs, természetesen a fenntartási költségek jelentkeznek.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környezeti következményei: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nincsenek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egészségi következményei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tervezetnek egészségi következménye nincs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adminisztratív terheket befolyásoló hatásai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 a jelenlegi adminisztratív terhet nem emeli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megalkotásának szükségessége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megfelelés a jogszabályi előírásoknak</w:t>
      </w:r>
    </w:p>
    <w:p w:rsidR="003E2093" w:rsidRPr="00BF153B" w:rsidRDefault="003E2093" w:rsidP="003E2093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lastRenderedPageBreak/>
        <w:t>alkalmazásához szükséges személyi, szervezeti, tárgyi és pénzügyi feltételek: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a jelenlegi feltételeken felül többletet nem igényel.</w:t>
      </w:r>
    </w:p>
    <w:p w:rsidR="003E2093" w:rsidRPr="00BF153B" w:rsidRDefault="003E2093" w:rsidP="003E2093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F52F78" w:rsidRPr="00BF153B" w:rsidRDefault="00F52F78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F52F78" w:rsidRPr="00BF153B" w:rsidRDefault="00F52F78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jc w:val="center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 xml:space="preserve">tervezet </w:t>
      </w:r>
    </w:p>
    <w:p w:rsidR="003E2093" w:rsidRPr="00BF153B" w:rsidRDefault="003E2093" w:rsidP="003E2093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>BALATONMÁRIAFÜRDŐ KÖZSÉGI ÖNKORMÁNYZAT KÉPVISELŐ-TESTÜLETÉNEK</w:t>
      </w:r>
    </w:p>
    <w:p w:rsidR="003E2093" w:rsidRPr="00BF153B" w:rsidRDefault="003E2093" w:rsidP="003E2093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>…/2020.(III. …) önkormányzati rendelete</w:t>
      </w:r>
    </w:p>
    <w:p w:rsidR="003E2093" w:rsidRPr="00BF153B" w:rsidRDefault="003E2093" w:rsidP="003E2093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 xml:space="preserve"> az önkormányzati vagyongazdálkodásról </w:t>
      </w:r>
      <w:proofErr w:type="gramStart"/>
      <w:r w:rsidRPr="00BF153B">
        <w:rPr>
          <w:rFonts w:asciiTheme="majorHAnsi" w:hAnsiTheme="majorHAnsi" w:cs="Calibri Light"/>
          <w:b/>
          <w:sz w:val="24"/>
          <w:szCs w:val="24"/>
        </w:rPr>
        <w:t>szóló  6</w:t>
      </w:r>
      <w:proofErr w:type="gramEnd"/>
      <w:r w:rsidRPr="00BF153B">
        <w:rPr>
          <w:rFonts w:asciiTheme="majorHAnsi" w:hAnsiTheme="majorHAnsi" w:cs="Calibri Light"/>
          <w:b/>
          <w:sz w:val="24"/>
          <w:szCs w:val="24"/>
        </w:rPr>
        <w:t>/2013.(IV.17.) önkormányzati rendelet módosításáról</w:t>
      </w:r>
    </w:p>
    <w:p w:rsidR="003E2093" w:rsidRPr="00BF153B" w:rsidRDefault="003E2093" w:rsidP="003E2093">
      <w:pPr>
        <w:rPr>
          <w:rFonts w:asciiTheme="majorHAnsi" w:hAnsiTheme="majorHAnsi" w:cs="Calibri Light"/>
          <w:szCs w:val="24"/>
        </w:rPr>
      </w:pPr>
    </w:p>
    <w:p w:rsidR="003E2093" w:rsidRPr="00BF153B" w:rsidRDefault="003E2093" w:rsidP="003E2093">
      <w:pPr>
        <w:pStyle w:val="Szvegtrzs"/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Balatonmáriafürdő Község Önkormányzat Képviselő-testülete az Alaptörvény 32. cikk (2) bekezdésében meghatározott eredeti jogalkotói hatáskörében, a Magyarország helyi önkormányzatairól szóló 2011. évi CLXXXIX. törvény 107-109. §-</w:t>
      </w:r>
      <w:proofErr w:type="spellStart"/>
      <w:r w:rsidRPr="00BF153B">
        <w:rPr>
          <w:rFonts w:asciiTheme="majorHAnsi" w:hAnsiTheme="majorHAnsi" w:cs="Calibri Light"/>
          <w:szCs w:val="24"/>
        </w:rPr>
        <w:t>ában</w:t>
      </w:r>
      <w:proofErr w:type="spellEnd"/>
      <w:r w:rsidRPr="00BF153B">
        <w:rPr>
          <w:rFonts w:asciiTheme="majorHAnsi" w:hAnsiTheme="majorHAnsi" w:cs="Calibri Light"/>
          <w:szCs w:val="24"/>
        </w:rPr>
        <w:t>, a nemzeti vagyonról szóló 2011. évi CXCVI. törvény 5.</w:t>
      </w:r>
      <w:proofErr w:type="gramStart"/>
      <w:r w:rsidRPr="00BF153B">
        <w:rPr>
          <w:rFonts w:asciiTheme="majorHAnsi" w:hAnsiTheme="majorHAnsi" w:cs="Calibri Light"/>
          <w:szCs w:val="24"/>
        </w:rPr>
        <w:t>§  és</w:t>
      </w:r>
      <w:proofErr w:type="gramEnd"/>
      <w:r w:rsidRPr="00BF153B">
        <w:rPr>
          <w:rFonts w:asciiTheme="majorHAnsi" w:hAnsiTheme="majorHAnsi" w:cs="Calibri Light"/>
          <w:szCs w:val="24"/>
        </w:rPr>
        <w:t xml:space="preserve">  18. §-ban kapott felhatalmazás alapján, a Magyarország helyi önkormányzatairól szóló 2011. évi CLXXXIX. törvény 106. § (2) bekezdésében meghatározott feladatkörében eljárva a következőket rendeli el: </w:t>
      </w: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1.§ Az önkormányzat vagyongazdálkodásról szóló 6/2013.(IV.17.) önkormányzati rendelet 1., 2., 3. melléklete helyébe a rendelet 1., 2., 3 melléklete lép.</w:t>
      </w: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 xml:space="preserve">2.§ A rendelet kihirdetését követő napon lép hatályba, és hatálybalépését követő napon hatályát veszti. </w:t>
      </w:r>
    </w:p>
    <w:p w:rsidR="003E2093" w:rsidRPr="00BF153B" w:rsidRDefault="003E2093" w:rsidP="003E2093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3E2093" w:rsidRPr="00BF153B" w:rsidRDefault="003E2093" w:rsidP="003E2093">
      <w:pPr>
        <w:pStyle w:val="FCm0"/>
        <w:spacing w:before="0" w:after="0" w:line="240" w:lineRule="auto"/>
        <w:rPr>
          <w:rFonts w:asciiTheme="majorHAnsi" w:hAnsiTheme="majorHAnsi" w:cs="Calibri Light"/>
          <w:szCs w:val="24"/>
        </w:rPr>
      </w:pPr>
    </w:p>
    <w:p w:rsidR="003E2093" w:rsidRPr="00BF153B" w:rsidRDefault="003E2093" w:rsidP="003E2093">
      <w:pPr>
        <w:jc w:val="center"/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Galácz György                                              Mestyán Valéria</w:t>
      </w:r>
    </w:p>
    <w:p w:rsidR="003E2093" w:rsidRPr="00BF153B" w:rsidRDefault="003E2093" w:rsidP="003E2093">
      <w:pPr>
        <w:jc w:val="center"/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polgármester                                                címzetes főjegyző</w:t>
      </w:r>
    </w:p>
    <w:p w:rsidR="003E2093" w:rsidRPr="00BF153B" w:rsidRDefault="003E2093" w:rsidP="000642A4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:rsidR="000642A4" w:rsidRPr="00BF153B" w:rsidRDefault="000642A4">
      <w:pPr>
        <w:rPr>
          <w:rFonts w:asciiTheme="majorHAnsi" w:hAnsiTheme="majorHAnsi" w:cs="Calibri Light"/>
          <w:szCs w:val="24"/>
        </w:rPr>
      </w:pPr>
    </w:p>
    <w:p w:rsidR="003E2093" w:rsidRPr="00BF153B" w:rsidRDefault="003E2093">
      <w:pPr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A rendelet kihirdetve: 2020. március …-én</w:t>
      </w:r>
    </w:p>
    <w:p w:rsidR="003E2093" w:rsidRPr="00BF153B" w:rsidRDefault="003E2093">
      <w:pPr>
        <w:rPr>
          <w:rFonts w:asciiTheme="majorHAnsi" w:hAnsiTheme="majorHAnsi" w:cs="Calibri Light"/>
          <w:szCs w:val="24"/>
        </w:rPr>
      </w:pPr>
    </w:p>
    <w:p w:rsidR="003E2093" w:rsidRPr="00BF153B" w:rsidRDefault="003E2093">
      <w:pPr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Mestyán Valéria</w:t>
      </w:r>
    </w:p>
    <w:p w:rsidR="003E2093" w:rsidRPr="00BF153B" w:rsidRDefault="003E2093">
      <w:pPr>
        <w:rPr>
          <w:rFonts w:asciiTheme="majorHAnsi" w:hAnsiTheme="majorHAnsi" w:cs="Calibri Light"/>
          <w:szCs w:val="24"/>
        </w:rPr>
      </w:pPr>
      <w:r w:rsidRPr="00BF153B">
        <w:rPr>
          <w:rFonts w:asciiTheme="majorHAnsi" w:hAnsiTheme="majorHAnsi" w:cs="Calibri Light"/>
          <w:szCs w:val="24"/>
        </w:rPr>
        <w:t>címzetes főjegyző</w:t>
      </w:r>
    </w:p>
    <w:p w:rsidR="003E2093" w:rsidRPr="00BF153B" w:rsidRDefault="003E2093">
      <w:pPr>
        <w:rPr>
          <w:rFonts w:asciiTheme="majorHAnsi" w:hAnsiTheme="majorHAnsi" w:cs="Calibri Light"/>
          <w:szCs w:val="24"/>
        </w:rPr>
      </w:pPr>
    </w:p>
    <w:p w:rsidR="003E2093" w:rsidRPr="00BF153B" w:rsidRDefault="003E2093" w:rsidP="003E2093">
      <w:pPr>
        <w:pStyle w:val="Listaszerbekezds"/>
        <w:numPr>
          <w:ilvl w:val="0"/>
          <w:numId w:val="6"/>
        </w:numPr>
        <w:spacing w:before="100" w:beforeAutospacing="1" w:after="100" w:afterAutospacing="1"/>
        <w:jc w:val="center"/>
        <w:rPr>
          <w:rFonts w:asciiTheme="majorHAnsi" w:eastAsia="Times New Roman" w:hAnsiTheme="majorHAnsi" w:cs="Calibri Light"/>
          <w:b/>
          <w:bCs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melléklet a …/2020.(</w:t>
      </w:r>
      <w:proofErr w:type="gramStart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III. ..</w:t>
      </w:r>
      <w:proofErr w:type="gramEnd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) önkormányzati rendelethez</w:t>
      </w:r>
    </w:p>
    <w:p w:rsidR="003E2093" w:rsidRPr="00BF153B" w:rsidRDefault="003E2093" w:rsidP="003E2093">
      <w:pPr>
        <w:pStyle w:val="Listaszerbekezds"/>
        <w:spacing w:before="100" w:beforeAutospacing="1" w:after="100" w:afterAutospacing="1"/>
        <w:rPr>
          <w:rFonts w:asciiTheme="majorHAnsi" w:eastAsia="Times New Roman" w:hAnsiTheme="majorHAnsi" w:cs="Calibri Light"/>
          <w:b/>
          <w:bCs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„1.melléklet a 16/2013.(IV.17. önkormányzati rendelethez</w:t>
      </w:r>
    </w:p>
    <w:p w:rsidR="003E2093" w:rsidRPr="00BF153B" w:rsidRDefault="003E2093" w:rsidP="003E2093">
      <w:pPr>
        <w:spacing w:before="100" w:beforeAutospacing="1" w:after="100" w:afterAutospacing="1"/>
        <w:jc w:val="center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FORGALOMKÉPTELEN TÖRZSVAGYON</w:t>
      </w:r>
    </w:p>
    <w:p w:rsidR="003E2093" w:rsidRPr="00BF153B" w:rsidRDefault="003E2093" w:rsidP="003E2093">
      <w:pPr>
        <w:spacing w:before="100" w:beforeAutospacing="1" w:after="100" w:afterAutospacing="1"/>
        <w:jc w:val="center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kizárólagos önkormányzati vagyonelemek</w:t>
      </w:r>
    </w:p>
    <w:tbl>
      <w:tblPr>
        <w:tblW w:w="934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107"/>
        <w:gridCol w:w="3440"/>
        <w:gridCol w:w="2409"/>
        <w:gridCol w:w="1418"/>
      </w:tblGrid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lastRenderedPageBreak/>
              <w:t>Hrsz.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Terület</w:t>
            </w:r>
          </w:p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m2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Megnevezése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Rendeltetés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Bruttó érték e Ft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02/3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2378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Szabadság utcai szabadstrand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19 339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02/24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Zagytér melletti árok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árok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2 505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1/7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905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Hajós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5 525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1/17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918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Kígyó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6 217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945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Tavasz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6 909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Köztársaságból nyíló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1 338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404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Szivacs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2 320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41/1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766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Fokos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4 112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698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Kerék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4 476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55/1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623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Kapás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3 403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286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Körösi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1 716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72/1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757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Dandár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5 540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7963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Köztársaság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49 715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2203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Dohány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12 359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96/1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936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Gróf Széchényi Imre tér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4 814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11747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Gróf Széchényi Imre tér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130 150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102/2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Vilma u - Gróf Széchényi tér sarok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65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712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Vilma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5 180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395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Pillangó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3 005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10283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Vilma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92 031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157/1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8589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Alkotás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50 633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169/7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1278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Gogol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7 922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169/17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759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Radnóti Miklós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5 140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196/4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3398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Alkotás utcai parkoló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32 838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Vilma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442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206/2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4263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Ady Endre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57 007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209/2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2188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Fizetőstrand (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Regens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Wagner előtt)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15 534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209/3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1916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Fizetőstrand (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Regens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Wagner előtt)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13 662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209/8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Mária Hotel előtti parti sáv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partvédőmű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600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209/15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21747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Fizetőstrand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strandfürdő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371 288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223/2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586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Viola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4 598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226/2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616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Nyárfa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6 333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232/1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579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Fűzfa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3 795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244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552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Bárdos Lajos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7 530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263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764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Csendes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6 725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281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2319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Balaton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22 002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347/4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40289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Rákóczi Ferenc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489 144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373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Rákóczi 51.sz.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1 008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414/1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511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Delta étterem előtti terület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3 891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lastRenderedPageBreak/>
              <w:t>414/2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Rákóczi F utca járda és parkoló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4 017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417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1002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Delta étterem előtti terület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23 674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419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Keszeg utcai emlékmű (kereszt)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440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424/5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3136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Vasút tér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121 409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424/8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582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Posta előtti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14 761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424/9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173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Keszeg utca eleje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1 125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443/1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3893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Vasúti sétány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40 600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478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2950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Vasút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18 636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495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12077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Keszeg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154 317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496/1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4127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Csatornapart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32 258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500/2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4679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Bernáth Aurél sétány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85 744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500/11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3524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Hajóállomási szabadstrand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106 604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517/1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613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Árpád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4 615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525/1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485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Bem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7 978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530/1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2922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Szív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18 789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532/1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Dózsa u.18. sz.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384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534/1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382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Csillagfény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2 292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541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558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Napsugár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3 348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544/1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Napsugár u végén bal p.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49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544/35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Napsugár u végén bal p.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11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547/2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28847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Dózsa György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212 784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589/1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Muskátli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3 756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601/1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466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Hársfa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2 796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614/1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588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Fenyőfa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3 528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626/1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531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Anna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3 186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636/1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Szegfű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3 036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642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396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Rózsa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2 376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657/1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648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Liliom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3 888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674/1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866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Dália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6 321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689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990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Hold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5 601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700/1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1567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Kőhídi árok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árok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7 835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740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1161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Csatornapart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7 985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782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616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Jókai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3 696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788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7196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Petőfi Sándor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43 420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843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5461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Kossuth Lajos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47 675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871/13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348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Keszeg u. 118.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2 088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872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3813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Szilágyi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23 775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893/4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3355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Polgár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21 416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893/5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24319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Parti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127 124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901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476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Alkotmány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2 856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918/9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478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Dózsa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u.108.sz.melletti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2 642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927/9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1887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Szabadság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15 792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939/18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576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Honvéd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8 714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959/3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808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utcai üzletsor előtti terület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4 040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lastRenderedPageBreak/>
              <w:t>962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1582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utcai üzletsor előtti terület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10 720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973/4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519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Rákóczi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u.307.sz.melletti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3 114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978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Rákóczi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u.283.sz.melletti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1 680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999/4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303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Rákóczi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u.221.sz.melletti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1 818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1004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263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Rákóczi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u.193.sz.melletti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1 315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1013/1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445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Bajcsy u (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Csom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birtok előtti 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ter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.)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2 670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1018/9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1630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Tölgyfa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8 552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1018/27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1029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Cserje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5 565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1018/32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Cserje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u.9.sz.előtti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terület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624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1022/9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896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Bimbó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4 816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1022/24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894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Tulipán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4 800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1048/12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323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Árvácska u.11. mellett nyíló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1 938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1067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1567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Ibolya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9 521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1075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13468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Árvácska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82 445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1076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2958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22 855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1077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3533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utcai közpark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21 206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1136/7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1525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Sirály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9 254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1140/8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529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136.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2 921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1158/8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670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172.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3 623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1173/1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609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124. melletti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3 045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1179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30508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193 570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1180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1730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utcai parkoló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20 167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1210/9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366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Kócsag köz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2 196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1217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1054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Melhardt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Ambrus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5 780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1223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25530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Mária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143 130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1237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2352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Daru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15 740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1290/1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2006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Őz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12 267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1335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1897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Nefelejcs utcai temető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temető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8 885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1383/7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881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Hóvirág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5 505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1427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1460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10 623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1435/14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409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Akácfa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u.12.sz.melletti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2 454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1467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1561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Bükkfa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10 826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1476/6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519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Akácfa </w:t>
            </w:r>
            <w:proofErr w:type="gram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u.62.sz.melletti</w:t>
            </w:r>
            <w:proofErr w:type="gram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út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2 787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1477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22015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Akácfa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214 875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1505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1211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Cserfa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9 372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1540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5061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Faluház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36 352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1550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28342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Nefelejcs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168 772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1551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4940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Fenyvesi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27 449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1565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48746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Bajcsy </w:t>
            </w: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Zs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. E. utca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295 873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1594/4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5709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Őrház utcai 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46 255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1596/3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2992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Polgár utcai 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27 236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1597/2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3677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Polgár utcai strand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22 429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1604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3205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Bárdos Lajos sétány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közterület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18 162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1606/3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329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Szennyvíz átemelő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átemelő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1 645</w:t>
            </w:r>
          </w:p>
        </w:tc>
      </w:tr>
    </w:tbl>
    <w:p w:rsidR="003E2093" w:rsidRPr="00BF153B" w:rsidRDefault="003E2093" w:rsidP="00F52F78">
      <w:pPr>
        <w:pStyle w:val="Listaszerbekezds"/>
        <w:numPr>
          <w:ilvl w:val="0"/>
          <w:numId w:val="3"/>
        </w:numPr>
        <w:spacing w:before="100" w:beforeAutospacing="1" w:after="100" w:afterAutospacing="1"/>
        <w:jc w:val="center"/>
        <w:rPr>
          <w:rFonts w:asciiTheme="majorHAnsi" w:eastAsia="Times New Roman" w:hAnsiTheme="majorHAnsi" w:cs="Calibri Light"/>
          <w:b/>
          <w:bCs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lastRenderedPageBreak/>
        <w:t>melléklet a …/2020.(</w:t>
      </w:r>
      <w:proofErr w:type="gramStart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III. ..</w:t>
      </w:r>
      <w:proofErr w:type="gramEnd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) önkormányzati rendelethez</w:t>
      </w:r>
    </w:p>
    <w:p w:rsidR="003E2093" w:rsidRPr="00BF153B" w:rsidRDefault="003E2093" w:rsidP="00F52F78">
      <w:pPr>
        <w:spacing w:before="100" w:beforeAutospacing="1" w:after="100" w:afterAutospacing="1"/>
        <w:ind w:left="360"/>
        <w:jc w:val="right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 xml:space="preserve">„2. melléklet a 6/2013. (IV. </w:t>
      </w:r>
      <w:proofErr w:type="gramStart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17. )</w:t>
      </w:r>
      <w:proofErr w:type="gramEnd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 xml:space="preserve"> önkormányzati rendelethez</w:t>
      </w:r>
      <w:bookmarkStart w:id="1" w:name="_ftnref_4"/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 xml:space="preserve"> </w:t>
      </w:r>
      <w:bookmarkEnd w:id="1"/>
    </w:p>
    <w:p w:rsidR="003E2093" w:rsidRPr="00BF153B" w:rsidRDefault="003E2093" w:rsidP="003E2093">
      <w:pPr>
        <w:spacing w:before="100" w:beforeAutospacing="1" w:after="100" w:afterAutospacing="1"/>
        <w:jc w:val="center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Az önkormányzat korlátozottan forgalomképes törzsvagyona</w:t>
      </w:r>
    </w:p>
    <w:tbl>
      <w:tblPr>
        <w:tblW w:w="93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124"/>
        <w:gridCol w:w="3137"/>
        <w:gridCol w:w="2691"/>
        <w:gridCol w:w="1410"/>
      </w:tblGrid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Hrsz.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Terület m2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Megnevezés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Rendeltetés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Bruttó érték e Ft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425/2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2209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Csillagvirág Művészeti Óvoda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Óvoda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67 871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534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1190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Közös Önkormányzati Hivatal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Önkormányzati hivatal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39 037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550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992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Balatonkeresztúr, Keszeg u.7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Védőnői szolgálat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90 055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1175/3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17250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Hullám utcai szabadstrand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Szabadstrand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250 249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1334/2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2201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Ősz Idők közösségi ház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Közösségi Ház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62 337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425/1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373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Vasút téri parkoló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beépítetlen terület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              7 840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434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1369</w:t>
            </w:r>
          </w:p>
        </w:tc>
        <w:tc>
          <w:tcPr>
            <w:tcW w:w="3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Vasút tér 4.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Önkormányzati telephely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19 585</w:t>
            </w:r>
          </w:p>
        </w:tc>
      </w:tr>
    </w:tbl>
    <w:p w:rsidR="003E2093" w:rsidRPr="00BF153B" w:rsidRDefault="003E2093" w:rsidP="003E2093">
      <w:pPr>
        <w:spacing w:before="100" w:beforeAutospacing="1" w:after="100" w:afterAutospacing="1"/>
        <w:rPr>
          <w:rFonts w:asciiTheme="majorHAnsi" w:eastAsia="Times New Roman" w:hAnsiTheme="majorHAnsi" w:cs="Calibri Light"/>
          <w:szCs w:val="24"/>
          <w:lang w:eastAsia="hu-HU"/>
        </w:rPr>
      </w:pPr>
    </w:p>
    <w:p w:rsidR="003E2093" w:rsidRPr="00BF153B" w:rsidRDefault="003E2093" w:rsidP="003E2093">
      <w:pPr>
        <w:pStyle w:val="Listaszerbekezds"/>
        <w:numPr>
          <w:ilvl w:val="0"/>
          <w:numId w:val="5"/>
        </w:numPr>
        <w:spacing w:before="100" w:beforeAutospacing="1" w:after="100" w:afterAutospacing="1"/>
        <w:jc w:val="right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szCs w:val="24"/>
          <w:lang w:eastAsia="hu-HU"/>
        </w:rPr>
        <w:t>melléklet a …/2020.(III…) önkormányzati rendelethez</w:t>
      </w:r>
    </w:p>
    <w:p w:rsidR="003E2093" w:rsidRPr="00BF153B" w:rsidRDefault="003E2093" w:rsidP="003E2093">
      <w:pPr>
        <w:spacing w:before="100" w:beforeAutospacing="1" w:after="100" w:afterAutospacing="1"/>
        <w:ind w:left="720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 xml:space="preserve">„3. melléklet a 6/2013.(IV.17.) önkormányzati rendelethez </w:t>
      </w:r>
    </w:p>
    <w:p w:rsidR="003E2093" w:rsidRPr="00BF153B" w:rsidRDefault="003E2093" w:rsidP="003E2093">
      <w:pPr>
        <w:spacing w:before="100" w:beforeAutospacing="1" w:after="100" w:afterAutospacing="1"/>
        <w:ind w:left="720"/>
        <w:jc w:val="center"/>
        <w:rPr>
          <w:rFonts w:asciiTheme="majorHAnsi" w:eastAsia="Times New Roman" w:hAnsiTheme="majorHAnsi" w:cs="Calibri Light"/>
          <w:szCs w:val="24"/>
          <w:lang w:eastAsia="hu-HU"/>
        </w:rPr>
      </w:pPr>
      <w:r w:rsidRPr="00BF153B">
        <w:rPr>
          <w:rFonts w:asciiTheme="majorHAnsi" w:eastAsia="Times New Roman" w:hAnsiTheme="majorHAnsi" w:cs="Calibri Light"/>
          <w:b/>
          <w:bCs/>
          <w:szCs w:val="24"/>
          <w:lang w:eastAsia="hu-HU"/>
        </w:rPr>
        <w:t>Az önkormányzat üzleti vagyona</w:t>
      </w:r>
    </w:p>
    <w:tbl>
      <w:tblPr>
        <w:tblW w:w="93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125"/>
        <w:gridCol w:w="3121"/>
        <w:gridCol w:w="2691"/>
        <w:gridCol w:w="1410"/>
      </w:tblGrid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Hrsz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Terület m2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Megnevezés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Rendeltetés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b/>
                <w:bCs/>
                <w:szCs w:val="24"/>
                <w:lang w:eastAsia="hu-HU"/>
              </w:rPr>
              <w:t>Bruttó érték e Ft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424/7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2434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Keszeg u.12. sz. üzletközpont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beépített terület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1 519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19944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Zagytér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beépítetlen terület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203 490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1611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1550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Zagytér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beépítetlen terület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8 863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1612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7856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Zagytér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beépítetlen terület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94 233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209/9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1260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Mária Hotel előtti strand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Közpark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12 126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213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76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Rákóczi u.-ból kis köz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közút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                 400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157/2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909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Vilma utca 98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Hétvégi ház, udvar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7 272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339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Rákóczi u.62. kápolna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Mindszenty szobor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3 935</w:t>
            </w:r>
          </w:p>
        </w:tc>
      </w:tr>
      <w:tr w:rsidR="003E2093" w:rsidRPr="00BF153B" w:rsidTr="003E2093">
        <w:trPr>
          <w:tblCellSpacing w:w="0" w:type="dxa"/>
        </w:trPr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1593/6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Őz utcai terület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proofErr w:type="spellStart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wc</w:t>
            </w:r>
            <w:proofErr w:type="spellEnd"/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 xml:space="preserve"> épület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093" w:rsidRPr="00BF153B" w:rsidRDefault="003E2093" w:rsidP="003E2093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="Calibri Light"/>
                <w:szCs w:val="24"/>
                <w:lang w:eastAsia="hu-HU"/>
              </w:rPr>
            </w:pPr>
            <w:r w:rsidRPr="00BF153B">
              <w:rPr>
                <w:rFonts w:asciiTheme="majorHAnsi" w:eastAsia="Times New Roman" w:hAnsiTheme="majorHAnsi" w:cs="Calibri Light"/>
                <w:szCs w:val="24"/>
                <w:lang w:eastAsia="hu-HU"/>
              </w:rPr>
              <w:t>190</w:t>
            </w:r>
          </w:p>
        </w:tc>
      </w:tr>
    </w:tbl>
    <w:p w:rsidR="003E2093" w:rsidRPr="00BF153B" w:rsidRDefault="003E2093" w:rsidP="003E2093">
      <w:pPr>
        <w:rPr>
          <w:rFonts w:asciiTheme="majorHAnsi" w:hAnsiTheme="majorHAnsi" w:cs="Calibri Light"/>
          <w:szCs w:val="24"/>
        </w:rPr>
      </w:pPr>
    </w:p>
    <w:bookmarkEnd w:id="0"/>
    <w:p w:rsidR="003E2093" w:rsidRPr="00BF153B" w:rsidRDefault="003E2093">
      <w:pPr>
        <w:rPr>
          <w:rFonts w:asciiTheme="majorHAnsi" w:hAnsiTheme="majorHAnsi" w:cs="Calibri Light"/>
          <w:szCs w:val="24"/>
        </w:rPr>
      </w:pPr>
    </w:p>
    <w:sectPr w:rsidR="003E2093" w:rsidRPr="00BF153B" w:rsidSect="00F52F7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9E7" w:rsidRDefault="005609E7" w:rsidP="00F52F78">
      <w:r>
        <w:separator/>
      </w:r>
    </w:p>
  </w:endnote>
  <w:endnote w:type="continuationSeparator" w:id="0">
    <w:p w:rsidR="005609E7" w:rsidRDefault="005609E7" w:rsidP="00F5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9E7" w:rsidRDefault="005609E7" w:rsidP="00F52F78">
      <w:r>
        <w:separator/>
      </w:r>
    </w:p>
  </w:footnote>
  <w:footnote w:type="continuationSeparator" w:id="0">
    <w:p w:rsidR="005609E7" w:rsidRDefault="005609E7" w:rsidP="00F52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5270844"/>
      <w:docPartObj>
        <w:docPartGallery w:val="Page Numbers (Top of Page)"/>
        <w:docPartUnique/>
      </w:docPartObj>
    </w:sdtPr>
    <w:sdtEndPr/>
    <w:sdtContent>
      <w:p w:rsidR="00F52F78" w:rsidRDefault="005609E7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F7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52F78" w:rsidRDefault="00F52F7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77DD8"/>
    <w:multiLevelType w:val="multilevel"/>
    <w:tmpl w:val="24228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D0FBB"/>
    <w:multiLevelType w:val="hybridMultilevel"/>
    <w:tmpl w:val="454E41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F1204"/>
    <w:multiLevelType w:val="multilevel"/>
    <w:tmpl w:val="BC0C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2"/>
    </w:lvlOverride>
  </w:num>
  <w:num w:numId="4">
    <w:abstractNumId w:val="0"/>
  </w:num>
  <w:num w:numId="5">
    <w:abstractNumId w:val="0"/>
    <w:lvlOverride w:ilvl="0">
      <w:startOverride w:val="3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2A4"/>
    <w:rsid w:val="00026474"/>
    <w:rsid w:val="000642A4"/>
    <w:rsid w:val="00170F1E"/>
    <w:rsid w:val="003E2093"/>
    <w:rsid w:val="004D61BC"/>
    <w:rsid w:val="005609E7"/>
    <w:rsid w:val="005B7A1C"/>
    <w:rsid w:val="006E7D01"/>
    <w:rsid w:val="00746CB5"/>
    <w:rsid w:val="007E7BB5"/>
    <w:rsid w:val="008B6BBF"/>
    <w:rsid w:val="00A033D4"/>
    <w:rsid w:val="00A8241D"/>
    <w:rsid w:val="00B36E16"/>
    <w:rsid w:val="00BF153B"/>
    <w:rsid w:val="00D52F9D"/>
    <w:rsid w:val="00F52F78"/>
    <w:rsid w:val="00FE176F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B1A8"/>
  <w15:docId w15:val="{9371B277-8B95-42DD-9C10-2317C5C3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42A4"/>
    <w:pP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Cmsor1">
    <w:name w:val="heading 1"/>
    <w:basedOn w:val="Norml"/>
    <w:next w:val="Norml"/>
    <w:link w:val="Cmsor1Char"/>
    <w:qFormat/>
    <w:rsid w:val="000642A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0642A4"/>
    <w:pPr>
      <w:spacing w:before="240" w:after="60"/>
      <w:outlineLvl w:val="7"/>
    </w:pPr>
    <w:rPr>
      <w:rFonts w:ascii="Calibri" w:eastAsia="Times New Roman" w:hAnsi="Calibri" w:cs="Times New Roman"/>
      <w:i/>
      <w:iCs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42A4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0642A4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0642A4"/>
    <w:pPr>
      <w:keepNext/>
      <w:keepLines/>
      <w:spacing w:before="480" w:after="240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Szvegtrzs3">
    <w:name w:val="Body Text 3"/>
    <w:basedOn w:val="Norml"/>
    <w:link w:val="Szvegtrzs3Char"/>
    <w:unhideWhenUsed/>
    <w:rsid w:val="000642A4"/>
    <w:pPr>
      <w:spacing w:after="120"/>
      <w:jc w:val="both"/>
    </w:pPr>
    <w:rPr>
      <w:rFonts w:eastAsia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0642A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3E209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E2093"/>
    <w:rPr>
      <w:rFonts w:ascii="Times New Roman" w:eastAsia="Calibri" w:hAnsi="Times New Roman" w:cs="Calibri"/>
      <w:sz w:val="24"/>
    </w:rPr>
  </w:style>
  <w:style w:type="paragraph" w:customStyle="1" w:styleId="FCm0">
    <w:name w:val="FőCím"/>
    <w:basedOn w:val="Norml"/>
    <w:rsid w:val="003E2093"/>
    <w:pPr>
      <w:keepNext/>
      <w:keepLines/>
      <w:spacing w:before="480" w:after="240" w:line="260" w:lineRule="exact"/>
      <w:jc w:val="center"/>
    </w:pPr>
    <w:rPr>
      <w:rFonts w:eastAsia="Times New Roman" w:cs="Times New Roman"/>
      <w:b/>
      <w:noProof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3E2093"/>
  </w:style>
  <w:style w:type="paragraph" w:customStyle="1" w:styleId="msonormal0">
    <w:name w:val="msonormal"/>
    <w:basedOn w:val="Norml"/>
    <w:rsid w:val="003E2093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E2093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E2093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E2093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E2093"/>
    <w:rPr>
      <w:color w:val="800080"/>
      <w:u w:val="single"/>
    </w:rPr>
  </w:style>
  <w:style w:type="paragraph" w:styleId="Listaszerbekezds">
    <w:name w:val="List Paragraph"/>
    <w:basedOn w:val="Norml"/>
    <w:uiPriority w:val="34"/>
    <w:qFormat/>
    <w:rsid w:val="003E209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52F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52F78"/>
    <w:rPr>
      <w:rFonts w:ascii="Times New Roman" w:eastAsia="Calibri" w:hAnsi="Times New Roman" w:cs="Calibri"/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F52F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F52F78"/>
    <w:rPr>
      <w:rFonts w:ascii="Times New Roman" w:eastAsia="Calibri" w:hAnsi="Times New Roman" w:cs="Calibri"/>
      <w:sz w:val="24"/>
    </w:rPr>
  </w:style>
  <w:style w:type="paragraph" w:styleId="Cm">
    <w:name w:val="Title"/>
    <w:aliases w:val="Char Char,Char, Char"/>
    <w:basedOn w:val="Norml"/>
    <w:link w:val="CmChar"/>
    <w:qFormat/>
    <w:rsid w:val="00BF153B"/>
    <w:pPr>
      <w:tabs>
        <w:tab w:val="left" w:pos="3686"/>
      </w:tabs>
      <w:jc w:val="center"/>
    </w:pPr>
    <w:rPr>
      <w:rFonts w:eastAsia="Times New Roman" w:cs="Times New Roman"/>
      <w:b/>
      <w:szCs w:val="20"/>
      <w:lang w:val="x-none" w:eastAsia="hu-HU"/>
    </w:rPr>
  </w:style>
  <w:style w:type="character" w:customStyle="1" w:styleId="CmChar">
    <w:name w:val="Cím Char"/>
    <w:aliases w:val=" Char Char,Char Char Char,Char Char1,Char Char Char2"/>
    <w:basedOn w:val="Bekezdsalapbettpusa"/>
    <w:link w:val="Cm"/>
    <w:rsid w:val="00BF153B"/>
    <w:rPr>
      <w:rFonts w:ascii="Times New Roman" w:eastAsia="Times New Roman" w:hAnsi="Times New Roman" w:cs="Times New Roman"/>
      <w:b/>
      <w:sz w:val="24"/>
      <w:szCs w:val="20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1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2491-6CDF-4084-A59A-199E4E1D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2057</Words>
  <Characters>14197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</cp:revision>
  <dcterms:created xsi:type="dcterms:W3CDTF">2020-03-09T07:47:00Z</dcterms:created>
  <dcterms:modified xsi:type="dcterms:W3CDTF">2020-03-11T10:12:00Z</dcterms:modified>
</cp:coreProperties>
</file>