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BBB64" w14:textId="77777777" w:rsidR="005745E2" w:rsidRPr="009034A2" w:rsidRDefault="005745E2" w:rsidP="005745E2">
      <w:pPr>
        <w:tabs>
          <w:tab w:val="left" w:pos="0"/>
        </w:tabs>
        <w:jc w:val="both"/>
        <w:rPr>
          <w:rFonts w:ascii="Cambria" w:hAnsi="Cambria"/>
        </w:rPr>
      </w:pPr>
    </w:p>
    <w:p w14:paraId="68609955" w14:textId="77777777" w:rsidR="005745E2" w:rsidRPr="009034A2" w:rsidRDefault="005745E2" w:rsidP="005745E2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5CE73FF2" w14:textId="77777777" w:rsidR="005745E2" w:rsidRPr="009034A2" w:rsidRDefault="005745E2" w:rsidP="005745E2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72866D2" w14:textId="56BD7050" w:rsidR="005745E2" w:rsidRPr="009034A2" w:rsidRDefault="005745E2" w:rsidP="005745E2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13D59898" wp14:editId="72068095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FD6CF0" w14:textId="77777777" w:rsidR="005745E2" w:rsidRPr="009034A2" w:rsidRDefault="005745E2" w:rsidP="005745E2">
      <w:pPr>
        <w:tabs>
          <w:tab w:val="left" w:pos="0"/>
        </w:tabs>
        <w:spacing w:after="0"/>
        <w:jc w:val="both"/>
        <w:rPr>
          <w:rFonts w:ascii="Cambria" w:hAnsi="Cambria"/>
          <w:b/>
          <w:sz w:val="32"/>
        </w:rPr>
      </w:pPr>
    </w:p>
    <w:p w14:paraId="0C492DB3" w14:textId="77777777" w:rsidR="005745E2" w:rsidRPr="009034A2" w:rsidRDefault="005745E2" w:rsidP="005745E2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6E6ADED4" w14:textId="77777777" w:rsidR="005745E2" w:rsidRPr="009034A2" w:rsidRDefault="005745E2" w:rsidP="005745E2">
      <w:pPr>
        <w:tabs>
          <w:tab w:val="left" w:pos="0"/>
        </w:tabs>
        <w:spacing w:after="0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14F34AB4" w14:textId="77777777" w:rsidR="005745E2" w:rsidRPr="009034A2" w:rsidRDefault="005745E2" w:rsidP="005745E2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54858D38" w14:textId="77777777" w:rsidR="005745E2" w:rsidRPr="009034A2" w:rsidRDefault="005745E2" w:rsidP="005745E2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22876F2B" w14:textId="77777777" w:rsidR="005745E2" w:rsidRPr="009034A2" w:rsidRDefault="005745E2" w:rsidP="005745E2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4C345F14" w14:textId="77777777" w:rsidR="005745E2" w:rsidRPr="009034A2" w:rsidRDefault="005745E2" w:rsidP="005745E2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10304D92" w14:textId="74CE0B48" w:rsidR="005745E2" w:rsidRPr="009034A2" w:rsidRDefault="005745E2" w:rsidP="005745E2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21</w:t>
      </w:r>
      <w:r w:rsidRPr="009034A2">
        <w:rPr>
          <w:rFonts w:ascii="Cambria" w:hAnsi="Cambria"/>
          <w:sz w:val="32"/>
          <w:szCs w:val="24"/>
        </w:rPr>
        <w:t xml:space="preserve">. </w:t>
      </w:r>
      <w:r>
        <w:rPr>
          <w:rFonts w:ascii="Cambria" w:hAnsi="Cambria"/>
          <w:sz w:val="32"/>
          <w:szCs w:val="24"/>
        </w:rPr>
        <w:t xml:space="preserve">NOVEMBER </w:t>
      </w:r>
      <w:r w:rsidR="006A1387">
        <w:rPr>
          <w:rFonts w:ascii="Cambria" w:hAnsi="Cambria"/>
          <w:sz w:val="32"/>
          <w:szCs w:val="24"/>
        </w:rPr>
        <w:t>12</w:t>
      </w:r>
      <w:r w:rsidRPr="009034A2">
        <w:rPr>
          <w:rFonts w:ascii="Cambria" w:hAnsi="Cambria"/>
          <w:sz w:val="32"/>
          <w:szCs w:val="24"/>
        </w:rPr>
        <w:t>-</w:t>
      </w:r>
      <w:r>
        <w:rPr>
          <w:rFonts w:ascii="Cambria" w:hAnsi="Cambria"/>
          <w:sz w:val="32"/>
          <w:szCs w:val="24"/>
        </w:rPr>
        <w:t>E</w:t>
      </w:r>
      <w:r w:rsidRPr="009034A2">
        <w:rPr>
          <w:rFonts w:ascii="Cambria" w:hAnsi="Cambria"/>
          <w:sz w:val="32"/>
          <w:szCs w:val="24"/>
        </w:rPr>
        <w:t xml:space="preserve">I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14:paraId="281CA292" w14:textId="77777777" w:rsidR="005745E2" w:rsidRPr="009034A2" w:rsidRDefault="005745E2" w:rsidP="005745E2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5FDB284E" w14:textId="77777777" w:rsidR="005745E2" w:rsidRPr="009034A2" w:rsidRDefault="005745E2" w:rsidP="005745E2">
      <w:pPr>
        <w:tabs>
          <w:tab w:val="left" w:pos="0"/>
        </w:tabs>
        <w:rPr>
          <w:rFonts w:ascii="Cambria" w:hAnsi="Cambria"/>
          <w:b/>
          <w:sz w:val="32"/>
        </w:rPr>
      </w:pPr>
    </w:p>
    <w:p w14:paraId="75A619E4" w14:textId="287569CA" w:rsidR="005745E2" w:rsidRDefault="005745E2" w:rsidP="005745E2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287A6832" w14:textId="27F1A8B2" w:rsidR="005745E2" w:rsidRPr="009034A2" w:rsidRDefault="005745E2" w:rsidP="005745E2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5745E2">
        <w:rPr>
          <w:rFonts w:ascii="Cambria" w:hAnsi="Cambria"/>
          <w:b/>
          <w:sz w:val="32"/>
        </w:rPr>
        <w:t>NEM KÖZMŰVEL ÖSSZEGYŰJTÖTT HÁZTARTÁSI SZENNYVÍZ 2022. ÉVI DÍJ MEGÁLLAPÍTÁSA</w:t>
      </w:r>
    </w:p>
    <w:p w14:paraId="64C2A3B1" w14:textId="77777777" w:rsidR="005745E2" w:rsidRDefault="005745E2" w:rsidP="00954950">
      <w:pPr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14:paraId="426930F5" w14:textId="14AEB9ED" w:rsidR="005745E2" w:rsidRDefault="005745E2" w:rsidP="00954950">
      <w:pPr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14:paraId="0E1F83E1" w14:textId="77777777" w:rsidR="005745E2" w:rsidRDefault="005745E2" w:rsidP="00954950">
      <w:pPr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14:paraId="758F44E3" w14:textId="77777777" w:rsidR="005745E2" w:rsidRPr="005745E2" w:rsidRDefault="005745E2" w:rsidP="005745E2">
      <w:pPr>
        <w:spacing w:after="0" w:line="240" w:lineRule="auto"/>
        <w:jc w:val="center"/>
        <w:rPr>
          <w:rFonts w:ascii="Cambria" w:eastAsia="Arial Unicode MS" w:hAnsi="Cambria"/>
          <w:b/>
          <w:sz w:val="40"/>
          <w:szCs w:val="40"/>
        </w:rPr>
      </w:pPr>
    </w:p>
    <w:p w14:paraId="5CEA20A5" w14:textId="1BAEAB70" w:rsidR="00954950" w:rsidRPr="005745E2" w:rsidRDefault="005745E2" w:rsidP="005745E2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5745E2">
        <w:rPr>
          <w:rFonts w:ascii="Cambria" w:eastAsia="Arial Unicode MS" w:hAnsi="Cambria"/>
          <w:b/>
          <w:sz w:val="32"/>
          <w:szCs w:val="32"/>
        </w:rPr>
        <w:t>ELŐADÓ:</w:t>
      </w:r>
    </w:p>
    <w:p w14:paraId="1CF337E7" w14:textId="1C017B82" w:rsidR="00954950" w:rsidRPr="005745E2" w:rsidRDefault="005745E2" w:rsidP="005745E2">
      <w:pPr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5745E2">
        <w:rPr>
          <w:rFonts w:ascii="Cambria" w:hAnsi="Cambria"/>
          <w:b/>
          <w:bCs/>
          <w:sz w:val="32"/>
          <w:szCs w:val="32"/>
        </w:rPr>
        <w:t>MESTYÁN VALÉRIA</w:t>
      </w:r>
    </w:p>
    <w:p w14:paraId="39B46A37" w14:textId="18A1DD2D" w:rsidR="00954950" w:rsidRPr="005745E2" w:rsidRDefault="005745E2" w:rsidP="005745E2">
      <w:pPr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5745E2">
        <w:rPr>
          <w:rFonts w:ascii="Cambria" w:hAnsi="Cambria"/>
          <w:b/>
          <w:bCs/>
          <w:sz w:val="32"/>
          <w:szCs w:val="32"/>
        </w:rPr>
        <w:t xml:space="preserve">CÍMZETES FŐJEGYZŐ </w:t>
      </w:r>
    </w:p>
    <w:p w14:paraId="595B9CE4" w14:textId="77777777" w:rsidR="00954950" w:rsidRPr="005745E2" w:rsidRDefault="00954950" w:rsidP="00954950">
      <w:pPr>
        <w:rPr>
          <w:rFonts w:ascii="Century Gothic" w:hAnsi="Century Gothic"/>
          <w:b/>
          <w:sz w:val="32"/>
          <w:szCs w:val="32"/>
        </w:rPr>
      </w:pPr>
    </w:p>
    <w:p w14:paraId="15F6ECAE" w14:textId="018158B1" w:rsidR="005745E2" w:rsidRPr="00F650AB" w:rsidRDefault="005745E2" w:rsidP="005745E2">
      <w:pPr>
        <w:tabs>
          <w:tab w:val="left" w:pos="0"/>
        </w:tabs>
        <w:jc w:val="both"/>
        <w:rPr>
          <w:rFonts w:ascii="Cambria" w:hAnsi="Cambria"/>
          <w:bCs/>
        </w:rPr>
      </w:pPr>
      <w:r w:rsidRPr="00F650AB">
        <w:rPr>
          <w:rFonts w:ascii="Cambria" w:hAnsi="Cambria"/>
          <w:b/>
          <w:bCs/>
        </w:rPr>
        <w:lastRenderedPageBreak/>
        <w:t>Készült:</w:t>
      </w:r>
      <w:r w:rsidRPr="00F650AB">
        <w:rPr>
          <w:rFonts w:ascii="Cambria" w:hAnsi="Cambria"/>
          <w:bCs/>
        </w:rPr>
        <w:tab/>
        <w:t xml:space="preserve">Balatonmáriafürdő Község Önkormányzati Képviselő-testületének 2021. </w:t>
      </w:r>
      <w:r w:rsidR="00F1288B" w:rsidRPr="00F650AB">
        <w:rPr>
          <w:rFonts w:ascii="Cambria" w:hAnsi="Cambria"/>
          <w:bCs/>
        </w:rPr>
        <w:t xml:space="preserve">november </w:t>
      </w:r>
      <w:r w:rsidR="006A1387">
        <w:rPr>
          <w:rFonts w:ascii="Cambria" w:hAnsi="Cambria"/>
          <w:bCs/>
        </w:rPr>
        <w:t>12</w:t>
      </w:r>
      <w:r w:rsidRPr="00F650AB">
        <w:rPr>
          <w:rFonts w:ascii="Cambria" w:hAnsi="Cambria"/>
          <w:bCs/>
        </w:rPr>
        <w:t>-ei nyilvános testületi ülésére</w:t>
      </w:r>
    </w:p>
    <w:p w14:paraId="4E731E05" w14:textId="53E6D986" w:rsidR="00DB0135" w:rsidRPr="00F650AB" w:rsidRDefault="005745E2" w:rsidP="00F1288B">
      <w:pPr>
        <w:tabs>
          <w:tab w:val="left" w:pos="0"/>
        </w:tabs>
        <w:jc w:val="both"/>
        <w:rPr>
          <w:rFonts w:ascii="Cambria" w:hAnsi="Cambria"/>
        </w:rPr>
      </w:pPr>
      <w:r w:rsidRPr="00F650AB">
        <w:rPr>
          <w:rFonts w:ascii="Cambria" w:hAnsi="Cambria"/>
          <w:b/>
          <w:bCs/>
        </w:rPr>
        <w:t>Tárgy:</w:t>
      </w:r>
      <w:r w:rsidRPr="00F650AB">
        <w:rPr>
          <w:rFonts w:ascii="Cambria" w:hAnsi="Cambria"/>
        </w:rPr>
        <w:t xml:space="preserve"> </w:t>
      </w:r>
      <w:r w:rsidR="00F1288B" w:rsidRPr="00F650AB">
        <w:rPr>
          <w:rFonts w:ascii="Cambria" w:hAnsi="Cambria"/>
        </w:rPr>
        <w:tab/>
        <w:t>Nem közművel összegyűjtött háztartási szennyvíz 2022. évi díj megállapítása</w:t>
      </w:r>
    </w:p>
    <w:p w14:paraId="6B5B8209" w14:textId="77777777" w:rsidR="00F1288B" w:rsidRPr="00F650AB" w:rsidRDefault="00F1288B" w:rsidP="00F1288B">
      <w:pPr>
        <w:tabs>
          <w:tab w:val="left" w:pos="0"/>
        </w:tabs>
        <w:jc w:val="both"/>
        <w:rPr>
          <w:rFonts w:ascii="Cambria" w:hAnsi="Cambria"/>
          <w:b/>
        </w:rPr>
      </w:pPr>
    </w:p>
    <w:p w14:paraId="4C722504" w14:textId="77777777" w:rsidR="00954950" w:rsidRPr="00F650AB" w:rsidRDefault="00954950" w:rsidP="00954950">
      <w:pPr>
        <w:jc w:val="both"/>
        <w:rPr>
          <w:rFonts w:ascii="Cambria" w:hAnsi="Cambria"/>
          <w:b/>
        </w:rPr>
      </w:pPr>
      <w:r w:rsidRPr="00F650AB">
        <w:rPr>
          <w:rFonts w:ascii="Cambria" w:hAnsi="Cambria"/>
          <w:b/>
        </w:rPr>
        <w:t>Tisztelt Képviselő-testület!</w:t>
      </w:r>
    </w:p>
    <w:p w14:paraId="5202DF45" w14:textId="77777777" w:rsidR="00954950" w:rsidRPr="00F650AB" w:rsidRDefault="00954950" w:rsidP="00954950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 xml:space="preserve">A DRV Zrt., mint az önkormányzattal 2025. december 31-ig közszolgáltatási szerződésben álló, a nem közművel összegyűjtött háztartási szennyvíz begyűjtéséről szóló önkormányzati rendelet felülvizsgálatát és módosítását kezdeményezi a melléklet szerinti átirat (709599-21-1/2021.) indokolásával. </w:t>
      </w:r>
    </w:p>
    <w:p w14:paraId="50DA6758" w14:textId="77777777" w:rsidR="003228F0" w:rsidRPr="00F650AB" w:rsidRDefault="00954950" w:rsidP="003228F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  <w:r w:rsidRPr="00F650AB">
        <w:rPr>
          <w:rFonts w:ascii="Cambria" w:hAnsi="Cambria"/>
        </w:rPr>
        <w:t>Balaton</w:t>
      </w:r>
      <w:r w:rsidR="00042699" w:rsidRPr="00F650AB">
        <w:rPr>
          <w:rFonts w:ascii="Cambria" w:hAnsi="Cambria"/>
        </w:rPr>
        <w:t>máriafürdő</w:t>
      </w:r>
      <w:r w:rsidRPr="00F650AB">
        <w:rPr>
          <w:rFonts w:ascii="Cambria" w:hAnsi="Cambria"/>
        </w:rPr>
        <w:t xml:space="preserve"> község Önkormányzatának a</w:t>
      </w:r>
      <w:r w:rsidRPr="00F650AB">
        <w:rPr>
          <w:rFonts w:ascii="Cambria" w:eastAsia="Times New Roman" w:hAnsi="Cambria" w:cs="Arial"/>
          <w:lang w:eastAsia="hu-HU"/>
        </w:rPr>
        <w:t xml:space="preserve"> nem közművel összegyűjtött háztartási szennyvíz begyűjtésére vonatkozó helyi közszolgáltatásról szóló önkormányzati rendelete </w:t>
      </w:r>
      <w:proofErr w:type="gramStart"/>
      <w:r w:rsidRPr="00F650AB">
        <w:rPr>
          <w:rFonts w:ascii="Cambria" w:eastAsia="Times New Roman" w:hAnsi="Cambria" w:cs="Arial"/>
          <w:lang w:eastAsia="hu-HU"/>
        </w:rPr>
        <w:t xml:space="preserve">a  </w:t>
      </w:r>
      <w:r w:rsidR="003228F0" w:rsidRPr="00F650AB">
        <w:rPr>
          <w:rFonts w:ascii="Cambria" w:eastAsia="Times New Roman" w:hAnsi="Cambria" w:cs="Arial"/>
          <w:b/>
          <w:lang w:eastAsia="hu-HU"/>
        </w:rPr>
        <w:t>23</w:t>
      </w:r>
      <w:proofErr w:type="gramEnd"/>
      <w:r w:rsidR="003228F0" w:rsidRPr="00F650AB">
        <w:rPr>
          <w:rFonts w:ascii="Cambria" w:eastAsia="Times New Roman" w:hAnsi="Cambria" w:cs="Arial"/>
          <w:b/>
          <w:lang w:eastAsia="hu-HU"/>
        </w:rPr>
        <w:t>/2013.(XII.17.)</w:t>
      </w:r>
    </w:p>
    <w:p w14:paraId="62DEE1FB" w14:textId="77777777" w:rsidR="003228F0" w:rsidRPr="00F650AB" w:rsidRDefault="003228F0" w:rsidP="003228F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</w:p>
    <w:p w14:paraId="036E4B7C" w14:textId="65BB70AF" w:rsidR="00954950" w:rsidRPr="00F650AB" w:rsidRDefault="00954950" w:rsidP="003228F0">
      <w:pPr>
        <w:spacing w:after="0" w:line="240" w:lineRule="auto"/>
        <w:jc w:val="both"/>
        <w:rPr>
          <w:rFonts w:ascii="Cambria" w:hAnsi="Cambria"/>
          <w:b/>
        </w:rPr>
      </w:pPr>
      <w:r w:rsidRPr="00F650AB">
        <w:rPr>
          <w:rFonts w:ascii="Cambria" w:hAnsi="Cambria"/>
          <w:b/>
        </w:rPr>
        <w:t>A jelenleg érvényes közszolgáltatási díj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3018"/>
        <w:gridCol w:w="3010"/>
      </w:tblGrid>
      <w:tr w:rsidR="00954950" w:rsidRPr="00F650AB" w14:paraId="7C05CAB5" w14:textId="77777777" w:rsidTr="008E4356">
        <w:tc>
          <w:tcPr>
            <w:tcW w:w="3070" w:type="dxa"/>
          </w:tcPr>
          <w:p w14:paraId="39527F35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F650AB">
              <w:rPr>
                <w:rFonts w:ascii="Cambria" w:hAnsi="Cambria"/>
                <w:b/>
              </w:rPr>
              <w:t>Közszolgáltatás számított díja*</w:t>
            </w:r>
          </w:p>
        </w:tc>
        <w:tc>
          <w:tcPr>
            <w:tcW w:w="3071" w:type="dxa"/>
          </w:tcPr>
          <w:p w14:paraId="2CE6DFB5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F650AB">
              <w:rPr>
                <w:rFonts w:ascii="Cambria" w:hAnsi="Cambria"/>
                <w:b/>
              </w:rPr>
              <w:t>Alapdíj</w:t>
            </w:r>
          </w:p>
        </w:tc>
        <w:tc>
          <w:tcPr>
            <w:tcW w:w="3071" w:type="dxa"/>
          </w:tcPr>
          <w:p w14:paraId="3020F939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F650AB">
              <w:rPr>
                <w:rFonts w:ascii="Cambria" w:hAnsi="Cambria"/>
                <w:b/>
              </w:rPr>
              <w:t>Ürítési díj</w:t>
            </w:r>
          </w:p>
        </w:tc>
      </w:tr>
      <w:tr w:rsidR="00954950" w:rsidRPr="00F650AB" w14:paraId="32BBAAEF" w14:textId="77777777" w:rsidTr="008E4356">
        <w:tc>
          <w:tcPr>
            <w:tcW w:w="3070" w:type="dxa"/>
          </w:tcPr>
          <w:p w14:paraId="053E7B24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</w:rPr>
              <w:t>Természetes személyek (lakossági) felhasználók esetén</w:t>
            </w:r>
          </w:p>
        </w:tc>
        <w:tc>
          <w:tcPr>
            <w:tcW w:w="3071" w:type="dxa"/>
          </w:tcPr>
          <w:p w14:paraId="4906D172" w14:textId="08F912BD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</w:rPr>
              <w:t xml:space="preserve">13 013 </w:t>
            </w:r>
            <w:r w:rsidR="00954950" w:rsidRPr="00F650AB">
              <w:rPr>
                <w:rFonts w:ascii="Cambria" w:hAnsi="Cambria"/>
              </w:rPr>
              <w:t>Ft/forduló + Áfa</w:t>
            </w:r>
          </w:p>
        </w:tc>
        <w:tc>
          <w:tcPr>
            <w:tcW w:w="3071" w:type="dxa"/>
          </w:tcPr>
          <w:p w14:paraId="259DD330" w14:textId="25254F46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</w:rPr>
              <w:t>1 115</w:t>
            </w:r>
            <w:r w:rsidR="00954950" w:rsidRPr="00F650AB">
              <w:rPr>
                <w:rFonts w:ascii="Cambria" w:hAnsi="Cambria"/>
              </w:rPr>
              <w:t xml:space="preserve"> Ft/m3 + áfa</w:t>
            </w:r>
          </w:p>
        </w:tc>
      </w:tr>
      <w:tr w:rsidR="00954950" w:rsidRPr="00F650AB" w14:paraId="1B18F9A7" w14:textId="77777777" w:rsidTr="008E4356">
        <w:tc>
          <w:tcPr>
            <w:tcW w:w="3070" w:type="dxa"/>
          </w:tcPr>
          <w:p w14:paraId="64996C23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F650AB">
              <w:rPr>
                <w:rFonts w:ascii="Cambria" w:hAnsi="Cambria"/>
                <w:highlight w:val="yellow"/>
              </w:rPr>
              <w:t>Nem természetes személyek (közületi) felhasználók esetében</w:t>
            </w:r>
          </w:p>
        </w:tc>
        <w:tc>
          <w:tcPr>
            <w:tcW w:w="3071" w:type="dxa"/>
          </w:tcPr>
          <w:p w14:paraId="6CD66855" w14:textId="7C621974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F650AB">
              <w:rPr>
                <w:rFonts w:ascii="Cambria" w:hAnsi="Cambria"/>
                <w:highlight w:val="yellow"/>
              </w:rPr>
              <w:t xml:space="preserve">21 093 </w:t>
            </w:r>
            <w:r w:rsidR="00954950" w:rsidRPr="00F650AB">
              <w:rPr>
                <w:rFonts w:ascii="Cambria" w:hAnsi="Cambria"/>
                <w:highlight w:val="yellow"/>
              </w:rPr>
              <w:t>Ft/forduló + Áfa</w:t>
            </w:r>
          </w:p>
        </w:tc>
        <w:tc>
          <w:tcPr>
            <w:tcW w:w="3071" w:type="dxa"/>
          </w:tcPr>
          <w:p w14:paraId="786D7B1D" w14:textId="1994352F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  <w:highlight w:val="yellow"/>
              </w:rPr>
              <w:t xml:space="preserve">1 808 </w:t>
            </w:r>
            <w:r w:rsidR="00954950" w:rsidRPr="00F650AB">
              <w:rPr>
                <w:rFonts w:ascii="Cambria" w:hAnsi="Cambria"/>
                <w:highlight w:val="yellow"/>
              </w:rPr>
              <w:t>Ft/m3 + áfa</w:t>
            </w:r>
          </w:p>
        </w:tc>
      </w:tr>
    </w:tbl>
    <w:p w14:paraId="282E47B9" w14:textId="77777777" w:rsidR="00954950" w:rsidRPr="00F650AB" w:rsidRDefault="00954950" w:rsidP="00954950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>*A közszolgáltatási díjat terheli még a környezetterhelési díjról szóló 2003. évi LXXXIX. törvény alapján meghatározott, a DRV Zrt mindenkor érvényes vízterhelési díj.</w:t>
      </w:r>
    </w:p>
    <w:p w14:paraId="128245B3" w14:textId="49E319F6" w:rsidR="00954950" w:rsidRPr="00F650AB" w:rsidRDefault="000E3A18" w:rsidP="00954950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>A DRV Zrt. 2022</w:t>
      </w:r>
      <w:r w:rsidR="00954950" w:rsidRPr="00F650AB">
        <w:rPr>
          <w:rFonts w:ascii="Cambria" w:hAnsi="Cambria"/>
        </w:rPr>
        <w:t>. évre vonatkozóan az alábbi kéttényezős díjjavaslatot teszi: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3018"/>
        <w:gridCol w:w="3010"/>
      </w:tblGrid>
      <w:tr w:rsidR="00954950" w:rsidRPr="00F650AB" w14:paraId="2DE87F93" w14:textId="77777777" w:rsidTr="008E4356">
        <w:tc>
          <w:tcPr>
            <w:tcW w:w="3070" w:type="dxa"/>
          </w:tcPr>
          <w:p w14:paraId="2AB88E10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F650AB">
              <w:rPr>
                <w:rFonts w:ascii="Cambria" w:hAnsi="Cambria"/>
                <w:b/>
              </w:rPr>
              <w:t>Közszolgáltatás számított díja*</w:t>
            </w:r>
          </w:p>
        </w:tc>
        <w:tc>
          <w:tcPr>
            <w:tcW w:w="3071" w:type="dxa"/>
          </w:tcPr>
          <w:p w14:paraId="052ED1D6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F650AB">
              <w:rPr>
                <w:rFonts w:ascii="Cambria" w:hAnsi="Cambria"/>
                <w:b/>
              </w:rPr>
              <w:t>Alapdíj</w:t>
            </w:r>
          </w:p>
        </w:tc>
        <w:tc>
          <w:tcPr>
            <w:tcW w:w="3071" w:type="dxa"/>
          </w:tcPr>
          <w:p w14:paraId="70349FEF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F650AB">
              <w:rPr>
                <w:rFonts w:ascii="Cambria" w:hAnsi="Cambria"/>
                <w:b/>
              </w:rPr>
              <w:t>Ürítési díj</w:t>
            </w:r>
          </w:p>
        </w:tc>
      </w:tr>
      <w:tr w:rsidR="00954950" w:rsidRPr="00F650AB" w14:paraId="5036EE15" w14:textId="77777777" w:rsidTr="008E4356">
        <w:tc>
          <w:tcPr>
            <w:tcW w:w="3070" w:type="dxa"/>
          </w:tcPr>
          <w:p w14:paraId="4B72E5AC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</w:rPr>
              <w:t>Természetes személyek (lakossági) felhasználók esetén</w:t>
            </w:r>
          </w:p>
        </w:tc>
        <w:tc>
          <w:tcPr>
            <w:tcW w:w="3071" w:type="dxa"/>
          </w:tcPr>
          <w:p w14:paraId="11E1C4F7" w14:textId="58A7843B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</w:rPr>
              <w:t xml:space="preserve">13 013 </w:t>
            </w:r>
            <w:r w:rsidR="00954950" w:rsidRPr="00F650AB">
              <w:rPr>
                <w:rFonts w:ascii="Cambria" w:hAnsi="Cambria"/>
              </w:rPr>
              <w:t>Ft/forduló + Áfa</w:t>
            </w:r>
          </w:p>
        </w:tc>
        <w:tc>
          <w:tcPr>
            <w:tcW w:w="3071" w:type="dxa"/>
          </w:tcPr>
          <w:p w14:paraId="1D4DE42A" w14:textId="71D4E664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</w:rPr>
              <w:t xml:space="preserve">1 115 </w:t>
            </w:r>
            <w:r w:rsidR="00954950" w:rsidRPr="00F650AB">
              <w:rPr>
                <w:rFonts w:ascii="Cambria" w:hAnsi="Cambria"/>
              </w:rPr>
              <w:t>Ft/m3 + áfa</w:t>
            </w:r>
          </w:p>
        </w:tc>
      </w:tr>
      <w:tr w:rsidR="00954950" w:rsidRPr="00F650AB" w14:paraId="74B30FF0" w14:textId="77777777" w:rsidTr="008E4356">
        <w:tc>
          <w:tcPr>
            <w:tcW w:w="3070" w:type="dxa"/>
          </w:tcPr>
          <w:p w14:paraId="665878C3" w14:textId="77777777" w:rsidR="00954950" w:rsidRPr="00F650AB" w:rsidRDefault="0095495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F650AB">
              <w:rPr>
                <w:rFonts w:ascii="Cambria" w:hAnsi="Cambria"/>
                <w:highlight w:val="yellow"/>
              </w:rPr>
              <w:t>Nem természetes személyek (közületi) felhasználók esetében</w:t>
            </w:r>
          </w:p>
        </w:tc>
        <w:tc>
          <w:tcPr>
            <w:tcW w:w="3071" w:type="dxa"/>
          </w:tcPr>
          <w:p w14:paraId="6B1DC893" w14:textId="21D3B3A7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F650AB">
              <w:rPr>
                <w:rFonts w:ascii="Cambria" w:hAnsi="Cambria"/>
                <w:highlight w:val="yellow"/>
              </w:rPr>
              <w:t xml:space="preserve">29 268 </w:t>
            </w:r>
            <w:r w:rsidR="00954950" w:rsidRPr="00F650AB">
              <w:rPr>
                <w:rFonts w:ascii="Cambria" w:hAnsi="Cambria"/>
                <w:highlight w:val="yellow"/>
              </w:rPr>
              <w:t>Ft/forduló + Áfa</w:t>
            </w:r>
          </w:p>
        </w:tc>
        <w:tc>
          <w:tcPr>
            <w:tcW w:w="3071" w:type="dxa"/>
          </w:tcPr>
          <w:p w14:paraId="70A49347" w14:textId="05070B0C" w:rsidR="00954950" w:rsidRPr="00F650AB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50AB">
              <w:rPr>
                <w:rFonts w:ascii="Cambria" w:hAnsi="Cambria"/>
                <w:highlight w:val="yellow"/>
              </w:rPr>
              <w:t xml:space="preserve"> 2 509 </w:t>
            </w:r>
            <w:r w:rsidR="00954950" w:rsidRPr="00F650AB">
              <w:rPr>
                <w:rFonts w:ascii="Cambria" w:hAnsi="Cambria"/>
                <w:highlight w:val="yellow"/>
              </w:rPr>
              <w:t>Ft/m3 + áfa</w:t>
            </w:r>
          </w:p>
        </w:tc>
      </w:tr>
    </w:tbl>
    <w:p w14:paraId="42F19ED1" w14:textId="77777777" w:rsidR="00954950" w:rsidRPr="00F650AB" w:rsidRDefault="00954950" w:rsidP="00954950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 xml:space="preserve">A díjemelési javaslat kizárólag a nem természetes személyeket (közületi felhasználókat) érinti. </w:t>
      </w:r>
    </w:p>
    <w:p w14:paraId="4A66A1B9" w14:textId="77777777" w:rsidR="00954950" w:rsidRPr="00F650AB" w:rsidRDefault="00954950" w:rsidP="00954950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 xml:space="preserve">A Zrt a kéttényezős díj kialakítása során szállítási fordulóhoz kötött alapdíj, valamint a szippantó autó névleges térfogatához kötött ürítési díjváltozást javasolja. </w:t>
      </w:r>
    </w:p>
    <w:p w14:paraId="5E572254" w14:textId="77777777" w:rsidR="00954950" w:rsidRPr="00F650AB" w:rsidRDefault="00107356" w:rsidP="00954950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>A rendelet hatálybalépése 2022. január 1. napja, amennyiben más – a koronavírus-világjárvány kapcsán – rendelkezés nem történik.</w:t>
      </w:r>
    </w:p>
    <w:p w14:paraId="7F19EF9D" w14:textId="3CFE43EE" w:rsidR="00954950" w:rsidRPr="00F650AB" w:rsidRDefault="00954950" w:rsidP="00210D25">
      <w:pPr>
        <w:jc w:val="both"/>
        <w:rPr>
          <w:rFonts w:ascii="Cambria" w:hAnsi="Cambria"/>
        </w:rPr>
      </w:pPr>
      <w:r w:rsidRPr="00F650AB">
        <w:rPr>
          <w:rFonts w:ascii="Cambria" w:hAnsi="Cambria"/>
        </w:rPr>
        <w:t>Balaton</w:t>
      </w:r>
      <w:r w:rsidR="00DB0135" w:rsidRPr="00F650AB">
        <w:rPr>
          <w:rFonts w:ascii="Cambria" w:hAnsi="Cambria"/>
        </w:rPr>
        <w:t>máriafürdő</w:t>
      </w:r>
      <w:r w:rsidRPr="00F650AB">
        <w:rPr>
          <w:rFonts w:ascii="Cambria" w:hAnsi="Cambria"/>
        </w:rPr>
        <w:t>, 2021. 10. 13.</w:t>
      </w:r>
    </w:p>
    <w:p w14:paraId="210A5D50" w14:textId="77777777" w:rsidR="00954950" w:rsidRPr="00F650AB" w:rsidRDefault="00954950" w:rsidP="00210D25">
      <w:pPr>
        <w:spacing w:after="0"/>
        <w:jc w:val="right"/>
        <w:rPr>
          <w:rFonts w:ascii="Cambria" w:hAnsi="Cambria"/>
        </w:rPr>
      </w:pPr>
      <w:r w:rsidRPr="00F650AB">
        <w:rPr>
          <w:rFonts w:ascii="Cambria" w:hAnsi="Cambria"/>
        </w:rPr>
        <w:t xml:space="preserve">Mestyán Valéria </w:t>
      </w:r>
      <w:proofErr w:type="spellStart"/>
      <w:r w:rsidRPr="00F650AB">
        <w:rPr>
          <w:rFonts w:ascii="Cambria" w:hAnsi="Cambria"/>
        </w:rPr>
        <w:t>sk</w:t>
      </w:r>
      <w:proofErr w:type="spellEnd"/>
      <w:r w:rsidRPr="00F650AB">
        <w:rPr>
          <w:rFonts w:ascii="Cambria" w:hAnsi="Cambria"/>
        </w:rPr>
        <w:t>.</w:t>
      </w:r>
    </w:p>
    <w:p w14:paraId="195E654A" w14:textId="6D861FD2" w:rsidR="00954950" w:rsidRPr="00F650AB" w:rsidRDefault="00954950" w:rsidP="00210D25">
      <w:pPr>
        <w:spacing w:after="0"/>
        <w:jc w:val="right"/>
        <w:rPr>
          <w:rFonts w:ascii="Cambria" w:hAnsi="Cambria"/>
        </w:rPr>
      </w:pPr>
      <w:r w:rsidRPr="00F650AB">
        <w:rPr>
          <w:rFonts w:ascii="Cambria" w:hAnsi="Cambria"/>
        </w:rPr>
        <w:t xml:space="preserve">címzetes főjegyző </w:t>
      </w:r>
    </w:p>
    <w:p w14:paraId="302466F8" w14:textId="77777777" w:rsidR="00210D25" w:rsidRDefault="00210D25" w:rsidP="00954950">
      <w:pPr>
        <w:jc w:val="both"/>
        <w:rPr>
          <w:rFonts w:ascii="Century Gothic" w:hAnsi="Century Gothic"/>
        </w:rPr>
      </w:pPr>
    </w:p>
    <w:p w14:paraId="71F903A0" w14:textId="77777777" w:rsidR="00954950" w:rsidRPr="000755FD" w:rsidRDefault="00954950" w:rsidP="00954950">
      <w:pPr>
        <w:jc w:val="center"/>
        <w:rPr>
          <w:rFonts w:ascii="Century Gothic" w:hAnsi="Century Gothic"/>
        </w:rPr>
      </w:pPr>
      <w:r w:rsidRPr="000755FD">
        <w:rPr>
          <w:rFonts w:ascii="Century Gothic" w:hAnsi="Century Gothic"/>
        </w:rPr>
        <w:lastRenderedPageBreak/>
        <w:t>tervezet</w:t>
      </w:r>
    </w:p>
    <w:p w14:paraId="236C7355" w14:textId="2C585D0D" w:rsidR="00210D25" w:rsidRPr="00042041" w:rsidRDefault="00DB013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042041">
        <w:rPr>
          <w:rFonts w:ascii="Cambria" w:hAnsi="Cambria"/>
          <w:b/>
          <w:bCs/>
        </w:rPr>
        <w:t>Balatonmáriafürdő</w:t>
      </w:r>
      <w:r w:rsidR="00210D25" w:rsidRPr="00042041">
        <w:rPr>
          <w:rFonts w:ascii="Cambria" w:hAnsi="Cambria"/>
          <w:b/>
          <w:bCs/>
        </w:rPr>
        <w:t xml:space="preserve"> Község Önkormányzata Képviselő-testületének</w:t>
      </w:r>
    </w:p>
    <w:p w14:paraId="129149B7" w14:textId="147C46FD" w:rsidR="00210D25" w:rsidRPr="00042041" w:rsidRDefault="00210D2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proofErr w:type="gramStart"/>
      <w:r w:rsidRPr="00042041">
        <w:rPr>
          <w:rFonts w:ascii="Cambria" w:hAnsi="Cambria"/>
          <w:b/>
          <w:bCs/>
        </w:rPr>
        <w:t>..</w:t>
      </w:r>
      <w:proofErr w:type="gramEnd"/>
      <w:r w:rsidRPr="00042041">
        <w:rPr>
          <w:rFonts w:ascii="Cambria" w:hAnsi="Cambria"/>
          <w:b/>
          <w:bCs/>
        </w:rPr>
        <w:t>/2021.(X</w:t>
      </w:r>
      <w:r w:rsidR="00042041">
        <w:rPr>
          <w:rFonts w:ascii="Cambria" w:hAnsi="Cambria"/>
          <w:b/>
          <w:bCs/>
        </w:rPr>
        <w:t>I</w:t>
      </w:r>
      <w:r w:rsidRPr="00042041">
        <w:rPr>
          <w:rFonts w:ascii="Cambria" w:hAnsi="Cambria"/>
          <w:b/>
          <w:bCs/>
        </w:rPr>
        <w:t>…) önkormányzati rendelete</w:t>
      </w:r>
    </w:p>
    <w:p w14:paraId="6AC5B00B" w14:textId="19819F30" w:rsidR="00210D25" w:rsidRDefault="00210D2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042041">
        <w:rPr>
          <w:rFonts w:ascii="Cambria" w:hAnsi="Cambria"/>
          <w:b/>
          <w:bCs/>
        </w:rPr>
        <w:t>a nem közművel összegyűjtött háztartási szennyvíz begyűjtésére vonatkozó h</w:t>
      </w:r>
      <w:r w:rsidR="00DB0135" w:rsidRPr="00042041">
        <w:rPr>
          <w:rFonts w:ascii="Cambria" w:hAnsi="Cambria"/>
          <w:b/>
          <w:bCs/>
        </w:rPr>
        <w:t>elyi közszolgáltatásról szóló 23/2013.(XII.17</w:t>
      </w:r>
      <w:r w:rsidRPr="00042041">
        <w:rPr>
          <w:rFonts w:ascii="Cambria" w:hAnsi="Cambria"/>
          <w:b/>
          <w:bCs/>
        </w:rPr>
        <w:t>.) önkormányzati rendelet módosításáról</w:t>
      </w:r>
    </w:p>
    <w:p w14:paraId="1CC4BBB2" w14:textId="77777777" w:rsidR="00A40A91" w:rsidRPr="00042041" w:rsidRDefault="00A40A91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14:paraId="3CFF8989" w14:textId="0F49D545" w:rsidR="00210D25" w:rsidRPr="00042041" w:rsidRDefault="00210D25" w:rsidP="00210D25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042041">
        <w:rPr>
          <w:rFonts w:ascii="Cambria" w:hAnsi="Cambria"/>
        </w:rPr>
        <w:t>Balaton</w:t>
      </w:r>
      <w:r w:rsidR="00DB0135" w:rsidRPr="00042041">
        <w:rPr>
          <w:rFonts w:ascii="Cambria" w:hAnsi="Cambria"/>
        </w:rPr>
        <w:t>máriafürdő</w:t>
      </w:r>
      <w:r w:rsidRPr="00042041">
        <w:rPr>
          <w:rFonts w:ascii="Cambria" w:hAnsi="Cambria"/>
        </w:rPr>
        <w:t xml:space="preserve"> Község Önkormányzatának Képviselő-testülete a Magyarország Alaptörvényének 32. cikk (1) a) pontja és 32. cikk (2) bekezdése szerint kapott felhatalmazás alapján, a vízgazdálkodásról szóló 1995. évi LVII. törvény 44/C. § (2) bekezdésében meghatározott feladatkörében eljárva a következőket rendeli el:</w:t>
      </w:r>
    </w:p>
    <w:p w14:paraId="7A9BD85C" w14:textId="77777777" w:rsidR="00042041" w:rsidRPr="00042041" w:rsidRDefault="00042041" w:rsidP="00042041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042041">
        <w:rPr>
          <w:rFonts w:ascii="Cambria" w:hAnsi="Cambria"/>
          <w:b/>
          <w:bCs/>
        </w:rPr>
        <w:t>1. §</w:t>
      </w:r>
    </w:p>
    <w:p w14:paraId="47C83B41" w14:textId="77777777" w:rsidR="00042041" w:rsidRPr="00042041" w:rsidRDefault="00042041" w:rsidP="00042041">
      <w:pPr>
        <w:pStyle w:val="Szvegtrzs"/>
        <w:spacing w:after="0" w:line="240" w:lineRule="auto"/>
        <w:jc w:val="both"/>
        <w:rPr>
          <w:rFonts w:ascii="Cambria" w:hAnsi="Cambria"/>
        </w:rPr>
      </w:pPr>
      <w:r w:rsidRPr="00042041">
        <w:rPr>
          <w:rFonts w:ascii="Cambria" w:hAnsi="Cambria"/>
        </w:rPr>
        <w:t>A nem közművel összegyűjtött háztartási szennyvíz begyűjtésére vonatkozó helyi közszolgáltatásról szóló 23/2013.(XII.17.) önkormányzati rendelet 1. melléklete helyébe az 1. melléklet lép.</w:t>
      </w:r>
    </w:p>
    <w:p w14:paraId="679613F0" w14:textId="77777777" w:rsidR="00042041" w:rsidRPr="00042041" w:rsidRDefault="00042041" w:rsidP="00042041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042041">
        <w:rPr>
          <w:rFonts w:ascii="Cambria" w:hAnsi="Cambria"/>
          <w:b/>
          <w:bCs/>
        </w:rPr>
        <w:t>2. §</w:t>
      </w:r>
    </w:p>
    <w:p w14:paraId="251E8AC8" w14:textId="2276F988" w:rsidR="00A64B36" w:rsidRDefault="00042041" w:rsidP="00042041">
      <w:pPr>
        <w:pStyle w:val="Szvegtrzs"/>
        <w:spacing w:after="0" w:line="240" w:lineRule="auto"/>
        <w:jc w:val="both"/>
        <w:rPr>
          <w:rFonts w:ascii="Cambria" w:hAnsi="Cambria"/>
        </w:rPr>
      </w:pPr>
      <w:r w:rsidRPr="00042041">
        <w:rPr>
          <w:rFonts w:ascii="Cambria" w:hAnsi="Cambria"/>
        </w:rPr>
        <w:t>Ez a rendelet 2022. január 1-jén lép hatályba</w:t>
      </w:r>
      <w:r w:rsidR="00D2421A">
        <w:rPr>
          <w:rFonts w:ascii="Cambria" w:hAnsi="Cambria"/>
        </w:rPr>
        <w:t>.</w:t>
      </w:r>
    </w:p>
    <w:p w14:paraId="798E96A3" w14:textId="77777777" w:rsidR="00A64B36" w:rsidRDefault="00A64B36" w:rsidP="00042041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37511A0" w14:textId="25724AB1" w:rsidR="00954950" w:rsidRPr="00A64B36" w:rsidRDefault="00954950" w:rsidP="00954950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lang w:eastAsia="hu-HU"/>
        </w:rPr>
      </w:pPr>
      <w:r w:rsidRPr="00A64B36">
        <w:rPr>
          <w:rFonts w:ascii="Cambria" w:eastAsia="Times New Roman" w:hAnsi="Cambria" w:cs="Arial"/>
          <w:lang w:eastAsia="hu-HU"/>
        </w:rPr>
        <w:br/>
      </w:r>
      <w:r w:rsidR="00DB0135" w:rsidRPr="00A64B36">
        <w:rPr>
          <w:rFonts w:ascii="Cambria" w:eastAsia="Times New Roman" w:hAnsi="Cambria" w:cs="Arial"/>
          <w:lang w:eastAsia="hu-HU"/>
        </w:rPr>
        <w:t xml:space="preserve">Galácz György                             </w:t>
      </w:r>
      <w:r w:rsidRPr="00A64B36">
        <w:rPr>
          <w:rFonts w:ascii="Cambria" w:eastAsia="Times New Roman" w:hAnsi="Cambria" w:cs="Arial"/>
          <w:lang w:eastAsia="hu-HU"/>
        </w:rPr>
        <w:t>Mestyán Valéria</w:t>
      </w:r>
    </w:p>
    <w:p w14:paraId="0D31DF40" w14:textId="77777777" w:rsidR="00954950" w:rsidRPr="00A64B36" w:rsidRDefault="00954950" w:rsidP="00954950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lang w:eastAsia="hu-HU"/>
        </w:rPr>
      </w:pPr>
      <w:r w:rsidRPr="00A64B36">
        <w:rPr>
          <w:rFonts w:ascii="Cambria" w:eastAsia="Times New Roman" w:hAnsi="Cambria" w:cs="Arial"/>
          <w:lang w:eastAsia="hu-HU"/>
        </w:rPr>
        <w:t>polgármester                                   címzetes főjegyző</w:t>
      </w:r>
    </w:p>
    <w:p w14:paraId="4D4E4F99" w14:textId="77777777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50508702" w14:textId="75440696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64B36">
        <w:rPr>
          <w:rFonts w:ascii="Cambria" w:hAnsi="Cambria"/>
        </w:rPr>
        <w:t>A rendelet kihirdetve:</w:t>
      </w:r>
    </w:p>
    <w:p w14:paraId="3C583D2E" w14:textId="77777777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02FE54E" w14:textId="5C81A9D9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64B36">
        <w:rPr>
          <w:rFonts w:ascii="Cambria" w:hAnsi="Cambria"/>
        </w:rPr>
        <w:t xml:space="preserve">2021. </w:t>
      </w:r>
      <w:r w:rsidR="00EE2898" w:rsidRPr="00A64B36">
        <w:rPr>
          <w:rFonts w:ascii="Cambria" w:hAnsi="Cambria"/>
        </w:rPr>
        <w:t>………</w:t>
      </w:r>
      <w:proofErr w:type="gramStart"/>
      <w:r w:rsidR="00EE2898" w:rsidRPr="00A64B36">
        <w:rPr>
          <w:rFonts w:ascii="Cambria" w:hAnsi="Cambria"/>
        </w:rPr>
        <w:t>…….</w:t>
      </w:r>
      <w:proofErr w:type="gramEnd"/>
      <w:r w:rsidR="00EE2898" w:rsidRPr="00A64B36">
        <w:rPr>
          <w:rFonts w:ascii="Cambria" w:hAnsi="Cambria"/>
        </w:rPr>
        <w:t>.</w:t>
      </w:r>
    </w:p>
    <w:p w14:paraId="687CA1C6" w14:textId="77777777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10570ADD" w14:textId="77777777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64B36">
        <w:rPr>
          <w:rFonts w:ascii="Cambria" w:hAnsi="Cambria"/>
        </w:rPr>
        <w:t xml:space="preserve">Mestyán Valéria </w:t>
      </w:r>
    </w:p>
    <w:p w14:paraId="76488345" w14:textId="1BDFDEAB" w:rsidR="00954950" w:rsidRPr="00A64B36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64B36">
        <w:rPr>
          <w:rFonts w:ascii="Cambria" w:hAnsi="Cambria"/>
        </w:rPr>
        <w:t>címzetes főjegyző</w:t>
      </w:r>
    </w:p>
    <w:p w14:paraId="766E117F" w14:textId="77777777" w:rsidR="009765AE" w:rsidRPr="000755FD" w:rsidRDefault="009765AE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</w:p>
    <w:p w14:paraId="132D4662" w14:textId="77777777" w:rsidR="00E14277" w:rsidRDefault="00E14277" w:rsidP="00E1427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4AF1DA38" w14:textId="77777777" w:rsidR="00E14277" w:rsidRDefault="00E14277" w:rsidP="00E1427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4"/>
        <w:gridCol w:w="2551"/>
        <w:gridCol w:w="2111"/>
      </w:tblGrid>
      <w:tr w:rsidR="00E14277" w:rsidRPr="00E14277" w14:paraId="5005AF0B" w14:textId="77777777" w:rsidTr="00E1427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D6E29" w14:textId="77777777" w:rsidR="00E14277" w:rsidRPr="00E14277" w:rsidRDefault="00E14277" w:rsidP="00E14277">
            <w:pPr>
              <w:pStyle w:val="Szvegtrzs"/>
              <w:spacing w:after="0" w:line="240" w:lineRule="auto"/>
              <w:rPr>
                <w:b/>
                <w:bCs/>
                <w:szCs w:val="25"/>
                <w:lang w:val="en-US"/>
              </w:rPr>
            </w:pPr>
            <w:proofErr w:type="spellStart"/>
            <w:r w:rsidRPr="00E14277">
              <w:rPr>
                <w:b/>
                <w:bCs/>
                <w:szCs w:val="25"/>
                <w:lang w:val="en-US"/>
              </w:rPr>
              <w:t>Közszolgáltatás</w:t>
            </w:r>
            <w:proofErr w:type="spellEnd"/>
            <w:r w:rsidRPr="00E14277">
              <w:rPr>
                <w:b/>
                <w:bCs/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b/>
                <w:bCs/>
                <w:szCs w:val="25"/>
                <w:lang w:val="en-US"/>
              </w:rPr>
              <w:t>számított</w:t>
            </w:r>
            <w:proofErr w:type="spellEnd"/>
            <w:r w:rsidRPr="00E14277">
              <w:rPr>
                <w:b/>
                <w:bCs/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b/>
                <w:bCs/>
                <w:szCs w:val="25"/>
                <w:lang w:val="en-US"/>
              </w:rPr>
              <w:t>díja</w:t>
            </w:r>
            <w:proofErr w:type="spellEnd"/>
            <w:r w:rsidRPr="00E14277">
              <w:rPr>
                <w:b/>
                <w:bCs/>
                <w:szCs w:val="25"/>
                <w:lang w:val="en-US"/>
              </w:rPr>
              <w:t>*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87F03D" w14:textId="77777777" w:rsidR="00E14277" w:rsidRPr="00E14277" w:rsidRDefault="00E14277">
            <w:pPr>
              <w:pStyle w:val="Szvegtrzs"/>
              <w:spacing w:after="0" w:line="240" w:lineRule="auto"/>
              <w:jc w:val="both"/>
              <w:rPr>
                <w:b/>
                <w:bCs/>
                <w:szCs w:val="25"/>
                <w:lang w:val="en-US"/>
              </w:rPr>
            </w:pPr>
            <w:proofErr w:type="spellStart"/>
            <w:r w:rsidRPr="00E14277">
              <w:rPr>
                <w:b/>
                <w:bCs/>
                <w:szCs w:val="25"/>
                <w:lang w:val="en-US"/>
              </w:rPr>
              <w:t>Alapdíj</w:t>
            </w:r>
            <w:proofErr w:type="spellEnd"/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1829BB" w14:textId="77777777" w:rsidR="00E14277" w:rsidRPr="00E14277" w:rsidRDefault="00E14277">
            <w:pPr>
              <w:pStyle w:val="Szvegtrzs"/>
              <w:spacing w:after="0" w:line="240" w:lineRule="auto"/>
              <w:jc w:val="both"/>
              <w:rPr>
                <w:b/>
                <w:bCs/>
                <w:szCs w:val="25"/>
                <w:lang w:val="en-US"/>
              </w:rPr>
            </w:pPr>
            <w:proofErr w:type="spellStart"/>
            <w:r w:rsidRPr="00E14277">
              <w:rPr>
                <w:b/>
                <w:bCs/>
                <w:szCs w:val="25"/>
                <w:lang w:val="en-US"/>
              </w:rPr>
              <w:t>Ürítési</w:t>
            </w:r>
            <w:proofErr w:type="spellEnd"/>
            <w:r w:rsidRPr="00E14277">
              <w:rPr>
                <w:b/>
                <w:bCs/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b/>
                <w:bCs/>
                <w:szCs w:val="25"/>
                <w:lang w:val="en-US"/>
              </w:rPr>
              <w:t>díj</w:t>
            </w:r>
            <w:proofErr w:type="spellEnd"/>
          </w:p>
        </w:tc>
      </w:tr>
      <w:tr w:rsidR="00E14277" w:rsidRPr="00E14277" w14:paraId="50C1A556" w14:textId="77777777" w:rsidTr="00E1427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9171C" w14:textId="77777777" w:rsidR="00E14277" w:rsidRPr="00E14277" w:rsidRDefault="00E14277" w:rsidP="00E14277">
            <w:pPr>
              <w:pStyle w:val="Szvegtrzs"/>
              <w:spacing w:after="0" w:line="240" w:lineRule="auto"/>
              <w:jc w:val="both"/>
              <w:rPr>
                <w:szCs w:val="25"/>
                <w:lang w:val="en-US"/>
              </w:rPr>
            </w:pPr>
            <w:proofErr w:type="spellStart"/>
            <w:r w:rsidRPr="00E14277">
              <w:rPr>
                <w:szCs w:val="25"/>
                <w:lang w:val="en-US"/>
              </w:rPr>
              <w:t>Természetes</w:t>
            </w:r>
            <w:proofErr w:type="spellEnd"/>
            <w:r w:rsidRPr="00E14277">
              <w:rPr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szCs w:val="25"/>
                <w:lang w:val="en-US"/>
              </w:rPr>
              <w:t>személyek</w:t>
            </w:r>
            <w:proofErr w:type="spellEnd"/>
            <w:r w:rsidRPr="00E14277">
              <w:rPr>
                <w:szCs w:val="25"/>
                <w:lang w:val="en-US"/>
              </w:rPr>
              <w:t xml:space="preserve"> (</w:t>
            </w:r>
            <w:proofErr w:type="spellStart"/>
            <w:r w:rsidRPr="00E14277">
              <w:rPr>
                <w:szCs w:val="25"/>
                <w:lang w:val="en-US"/>
              </w:rPr>
              <w:t>lakossági</w:t>
            </w:r>
            <w:proofErr w:type="spellEnd"/>
            <w:r w:rsidRPr="00E14277">
              <w:rPr>
                <w:szCs w:val="25"/>
                <w:lang w:val="en-US"/>
              </w:rPr>
              <w:t xml:space="preserve">) </w:t>
            </w:r>
            <w:proofErr w:type="spellStart"/>
            <w:r w:rsidRPr="00E14277">
              <w:rPr>
                <w:szCs w:val="25"/>
                <w:lang w:val="en-US"/>
              </w:rPr>
              <w:t>felhasználók</w:t>
            </w:r>
            <w:proofErr w:type="spellEnd"/>
            <w:r w:rsidRPr="00E14277">
              <w:rPr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szCs w:val="25"/>
                <w:lang w:val="en-US"/>
              </w:rPr>
              <w:t>esetén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8460B" w14:textId="77777777" w:rsidR="00E14277" w:rsidRPr="00E14277" w:rsidRDefault="00E14277" w:rsidP="00E14277">
            <w:pPr>
              <w:pStyle w:val="Szvegtrzs"/>
              <w:spacing w:after="0" w:line="240" w:lineRule="auto"/>
              <w:jc w:val="right"/>
              <w:rPr>
                <w:szCs w:val="25"/>
                <w:lang w:val="en-US"/>
              </w:rPr>
            </w:pPr>
            <w:r w:rsidRPr="00E14277">
              <w:rPr>
                <w:szCs w:val="25"/>
                <w:lang w:val="en-US"/>
              </w:rPr>
              <w:t>13 013 Ft/</w:t>
            </w:r>
            <w:proofErr w:type="spellStart"/>
            <w:r w:rsidRPr="00E14277">
              <w:rPr>
                <w:szCs w:val="25"/>
                <w:lang w:val="en-US"/>
              </w:rPr>
              <w:t>forduló</w:t>
            </w:r>
            <w:proofErr w:type="spellEnd"/>
            <w:r w:rsidRPr="00E14277">
              <w:rPr>
                <w:szCs w:val="25"/>
                <w:lang w:val="en-US"/>
              </w:rPr>
              <w:t xml:space="preserve"> + </w:t>
            </w:r>
            <w:proofErr w:type="spellStart"/>
            <w:r w:rsidRPr="00E14277">
              <w:rPr>
                <w:szCs w:val="25"/>
                <w:lang w:val="en-US"/>
              </w:rPr>
              <w:t>Áfa</w:t>
            </w:r>
            <w:proofErr w:type="spellEnd"/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C3E8AB" w14:textId="292ACC30" w:rsidR="00E14277" w:rsidRPr="00E14277" w:rsidRDefault="00E14277" w:rsidP="00E14277">
            <w:pPr>
              <w:pStyle w:val="Szvegtrzs"/>
              <w:spacing w:after="0" w:line="240" w:lineRule="auto"/>
              <w:jc w:val="right"/>
              <w:rPr>
                <w:szCs w:val="25"/>
                <w:lang w:val="en-US"/>
              </w:rPr>
            </w:pPr>
            <w:r w:rsidRPr="00E14277">
              <w:rPr>
                <w:szCs w:val="25"/>
                <w:lang w:val="en-US"/>
              </w:rPr>
              <w:t xml:space="preserve">1 115 Ft/m3 + </w:t>
            </w:r>
            <w:proofErr w:type="spellStart"/>
            <w:r>
              <w:rPr>
                <w:szCs w:val="25"/>
                <w:lang w:val="en-US"/>
              </w:rPr>
              <w:t>Á</w:t>
            </w:r>
            <w:r w:rsidRPr="00E14277">
              <w:rPr>
                <w:szCs w:val="25"/>
                <w:lang w:val="en-US"/>
              </w:rPr>
              <w:t>fa</w:t>
            </w:r>
            <w:proofErr w:type="spellEnd"/>
          </w:p>
        </w:tc>
      </w:tr>
      <w:tr w:rsidR="00E14277" w:rsidRPr="00E14277" w14:paraId="694C4393" w14:textId="77777777" w:rsidTr="00E1427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0BD71" w14:textId="5373C4BD" w:rsidR="00E14277" w:rsidRPr="00E14277" w:rsidRDefault="00E14277" w:rsidP="00E14277">
            <w:pPr>
              <w:pStyle w:val="Szvegtrzs"/>
              <w:spacing w:after="0" w:line="240" w:lineRule="auto"/>
              <w:jc w:val="both"/>
              <w:rPr>
                <w:szCs w:val="25"/>
                <w:lang w:val="en-US"/>
              </w:rPr>
            </w:pPr>
            <w:proofErr w:type="spellStart"/>
            <w:r w:rsidRPr="00E14277">
              <w:rPr>
                <w:szCs w:val="25"/>
                <w:lang w:val="en-US"/>
              </w:rPr>
              <w:t>Nem</w:t>
            </w:r>
            <w:proofErr w:type="spellEnd"/>
            <w:r w:rsidRPr="00E14277">
              <w:rPr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szCs w:val="25"/>
                <w:lang w:val="en-US"/>
              </w:rPr>
              <w:t>természetes</w:t>
            </w:r>
            <w:proofErr w:type="spellEnd"/>
            <w:r w:rsidRPr="00E14277">
              <w:rPr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szCs w:val="25"/>
                <w:lang w:val="en-US"/>
              </w:rPr>
              <w:t>személyek</w:t>
            </w:r>
            <w:proofErr w:type="spellEnd"/>
            <w:r w:rsidRPr="00E14277">
              <w:rPr>
                <w:szCs w:val="25"/>
                <w:lang w:val="en-US"/>
              </w:rPr>
              <w:t xml:space="preserve"> (</w:t>
            </w:r>
            <w:proofErr w:type="spellStart"/>
            <w:r w:rsidRPr="00E14277">
              <w:rPr>
                <w:szCs w:val="25"/>
                <w:lang w:val="en-US"/>
              </w:rPr>
              <w:t>közületi</w:t>
            </w:r>
            <w:proofErr w:type="spellEnd"/>
            <w:r w:rsidRPr="00E14277">
              <w:rPr>
                <w:szCs w:val="25"/>
                <w:lang w:val="en-US"/>
              </w:rPr>
              <w:t xml:space="preserve">) </w:t>
            </w:r>
            <w:proofErr w:type="spellStart"/>
            <w:r w:rsidRPr="00E14277">
              <w:rPr>
                <w:szCs w:val="25"/>
                <w:lang w:val="en-US"/>
              </w:rPr>
              <w:t>felhasználók</w:t>
            </w:r>
            <w:proofErr w:type="spellEnd"/>
            <w:r>
              <w:rPr>
                <w:szCs w:val="25"/>
                <w:lang w:val="en-US"/>
              </w:rPr>
              <w:t xml:space="preserve"> </w:t>
            </w:r>
            <w:proofErr w:type="spellStart"/>
            <w:r w:rsidRPr="00E14277">
              <w:rPr>
                <w:szCs w:val="25"/>
                <w:lang w:val="en-US"/>
              </w:rPr>
              <w:t>esetében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072CA" w14:textId="77777777" w:rsidR="00E14277" w:rsidRPr="00E14277" w:rsidRDefault="00E14277" w:rsidP="00E14277">
            <w:pPr>
              <w:pStyle w:val="Szvegtrzs"/>
              <w:spacing w:after="0" w:line="240" w:lineRule="auto"/>
              <w:jc w:val="right"/>
              <w:rPr>
                <w:szCs w:val="25"/>
                <w:lang w:val="en-US"/>
              </w:rPr>
            </w:pPr>
            <w:r w:rsidRPr="00E14277">
              <w:rPr>
                <w:szCs w:val="25"/>
                <w:lang w:val="en-US"/>
              </w:rPr>
              <w:t>29 268 Ft/</w:t>
            </w:r>
            <w:proofErr w:type="spellStart"/>
            <w:r w:rsidRPr="00E14277">
              <w:rPr>
                <w:szCs w:val="25"/>
                <w:lang w:val="en-US"/>
              </w:rPr>
              <w:t>forduló</w:t>
            </w:r>
            <w:proofErr w:type="spellEnd"/>
            <w:r w:rsidRPr="00E14277">
              <w:rPr>
                <w:szCs w:val="25"/>
                <w:lang w:val="en-US"/>
              </w:rPr>
              <w:t xml:space="preserve"> + </w:t>
            </w:r>
            <w:proofErr w:type="spellStart"/>
            <w:r w:rsidRPr="00E14277">
              <w:rPr>
                <w:szCs w:val="25"/>
                <w:lang w:val="en-US"/>
              </w:rPr>
              <w:t>Áfa</w:t>
            </w:r>
            <w:proofErr w:type="spellEnd"/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6087F3" w14:textId="08C7B106" w:rsidR="00E14277" w:rsidRPr="00E14277" w:rsidRDefault="00E14277" w:rsidP="00E14277">
            <w:pPr>
              <w:pStyle w:val="Szvegtrzs"/>
              <w:spacing w:after="0" w:line="240" w:lineRule="auto"/>
              <w:jc w:val="right"/>
              <w:rPr>
                <w:szCs w:val="25"/>
                <w:lang w:val="en-US"/>
              </w:rPr>
            </w:pPr>
            <w:r w:rsidRPr="00E14277">
              <w:rPr>
                <w:szCs w:val="25"/>
                <w:lang w:val="en-US"/>
              </w:rPr>
              <w:t xml:space="preserve">2 509 Ft/m3 + </w:t>
            </w:r>
            <w:proofErr w:type="spellStart"/>
            <w:r>
              <w:rPr>
                <w:szCs w:val="25"/>
                <w:lang w:val="en-US"/>
              </w:rPr>
              <w:t>Á</w:t>
            </w:r>
            <w:r w:rsidRPr="00E14277">
              <w:rPr>
                <w:szCs w:val="25"/>
                <w:lang w:val="en-US"/>
              </w:rPr>
              <w:t>fa</w:t>
            </w:r>
            <w:proofErr w:type="spellEnd"/>
          </w:p>
        </w:tc>
      </w:tr>
    </w:tbl>
    <w:p w14:paraId="2DC9577D" w14:textId="77777777" w:rsidR="00E14277" w:rsidRDefault="00E14277" w:rsidP="00E14277">
      <w:pPr>
        <w:pStyle w:val="Szvegtrzs"/>
        <w:spacing w:before="220" w:after="240" w:line="240" w:lineRule="auto"/>
        <w:jc w:val="both"/>
      </w:pPr>
      <w:r>
        <w:t>*A közszolgáltatási díjat terheli még a környezetterhelési díjról szóló 2003. évi LXXXIX. törvény alapján meghatározott, a DRV Zrt mindenkor érvényes vízterhelési díj.”</w:t>
      </w:r>
    </w:p>
    <w:p w14:paraId="5F7E4C64" w14:textId="0B458162" w:rsidR="000755FD" w:rsidRDefault="000755FD" w:rsidP="00954950">
      <w:pPr>
        <w:jc w:val="both"/>
        <w:rPr>
          <w:rFonts w:ascii="Century Gothic" w:hAnsi="Century Gothic"/>
          <w:b/>
          <w:color w:val="231F20"/>
          <w:spacing w:val="-2"/>
        </w:rPr>
      </w:pPr>
    </w:p>
    <w:p w14:paraId="0481330B" w14:textId="0A64B860" w:rsidR="000755FD" w:rsidRDefault="000755FD" w:rsidP="00954950">
      <w:pPr>
        <w:jc w:val="both"/>
        <w:rPr>
          <w:rFonts w:ascii="Century Gothic" w:hAnsi="Century Gothic"/>
          <w:b/>
          <w:color w:val="231F20"/>
          <w:spacing w:val="-2"/>
        </w:rPr>
      </w:pPr>
    </w:p>
    <w:p w14:paraId="5501E56F" w14:textId="1479FC5C" w:rsidR="00223817" w:rsidRDefault="00223817" w:rsidP="00954950">
      <w:pPr>
        <w:jc w:val="both"/>
        <w:rPr>
          <w:rFonts w:ascii="Century Gothic" w:hAnsi="Century Gothic"/>
          <w:b/>
          <w:color w:val="231F20"/>
          <w:spacing w:val="-2"/>
        </w:rPr>
      </w:pPr>
    </w:p>
    <w:p w14:paraId="26D31A35" w14:textId="77777777" w:rsidR="008F41F5" w:rsidRDefault="008F41F5" w:rsidP="00954950">
      <w:pPr>
        <w:jc w:val="both"/>
        <w:rPr>
          <w:rFonts w:ascii="Century Gothic" w:hAnsi="Century Gothic"/>
          <w:b/>
          <w:color w:val="231F20"/>
          <w:spacing w:val="-2"/>
        </w:rPr>
      </w:pPr>
    </w:p>
    <w:p w14:paraId="48A298D3" w14:textId="77777777" w:rsidR="00954950" w:rsidRPr="00320748" w:rsidRDefault="00954950" w:rsidP="00954950">
      <w:pPr>
        <w:jc w:val="center"/>
        <w:rPr>
          <w:rFonts w:ascii="Century Gothic" w:hAnsi="Century Gothic"/>
          <w:b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lastRenderedPageBreak/>
        <w:t>Előzetes hatásvizsgálati lap</w:t>
      </w:r>
    </w:p>
    <w:p w14:paraId="20CDA57B" w14:textId="77777777" w:rsidR="00954950" w:rsidRPr="00320748" w:rsidRDefault="00954950" w:rsidP="00954950">
      <w:pPr>
        <w:jc w:val="center"/>
        <w:rPr>
          <w:rFonts w:ascii="Century Gothic" w:hAnsi="Century Gothic"/>
          <w:b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a nem közművel összegyűjtött háztartási szennyvíz begyűjtésére vonatkozó helyi közszolgáltatásról szóló önkormányzati rendelet módosításához</w:t>
      </w:r>
    </w:p>
    <w:p w14:paraId="0C521676" w14:textId="62A63BEA" w:rsidR="00954950" w:rsidRPr="00320748" w:rsidRDefault="00954950" w:rsidP="00954950">
      <w:pPr>
        <w:jc w:val="center"/>
        <w:rPr>
          <w:rFonts w:ascii="Century Gothic" w:hAnsi="Century Gothic"/>
          <w:b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Balaton</w:t>
      </w:r>
      <w:r w:rsidR="00DB0135">
        <w:rPr>
          <w:rFonts w:ascii="Century Gothic" w:hAnsi="Century Gothic"/>
          <w:b/>
          <w:color w:val="231F20"/>
          <w:spacing w:val="-2"/>
          <w:sz w:val="20"/>
          <w:szCs w:val="20"/>
        </w:rPr>
        <w:t>máriafürdő</w:t>
      </w: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 xml:space="preserve"> </w:t>
      </w:r>
    </w:p>
    <w:p w14:paraId="443457E0" w14:textId="77777777" w:rsidR="00954950" w:rsidRPr="00320748" w:rsidRDefault="00954950" w:rsidP="00954950">
      <w:pPr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 (a jogalkotásról szóló 2010. év</w:t>
      </w:r>
      <w:r>
        <w:rPr>
          <w:rFonts w:ascii="Century Gothic" w:hAnsi="Century Gothic"/>
          <w:color w:val="231F20"/>
          <w:spacing w:val="-2"/>
          <w:sz w:val="20"/>
          <w:szCs w:val="20"/>
        </w:rPr>
        <w:t>i CXXX. törvény 17.§-a alapján)</w:t>
      </w:r>
    </w:p>
    <w:p w14:paraId="271C1042" w14:textId="77777777" w:rsidR="00954950" w:rsidRPr="00320748" w:rsidRDefault="00954950" w:rsidP="00954950">
      <w:pPr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A hatályos jogszabályok szerint a DRV Zrt-nek a közszolgáltatási díj </w:t>
      </w:r>
      <w:proofErr w:type="gramStart"/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megállapításakor  figyelembe</w:t>
      </w:r>
      <w:proofErr w:type="gramEnd"/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 kell vennie a közszolgáltatási tevékenység során felmerülő költségeket és ráfordításokat, és törekednie kell a gazdaságos, fedezetet nyújtó díj kialakítására. </w:t>
      </w:r>
    </w:p>
    <w:p w14:paraId="7AA86C52" w14:textId="77777777" w:rsidR="00954950" w:rsidRPr="00320748" w:rsidRDefault="00954950" w:rsidP="00954950">
      <w:pPr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A díjemelési javaslat kizárólag a nem természetes személyeket (közületi felhasználókat) érinti.</w:t>
      </w:r>
    </w:p>
    <w:p w14:paraId="2A507668" w14:textId="77777777" w:rsidR="00954950" w:rsidRPr="00320748" w:rsidRDefault="00954950" w:rsidP="00954950">
      <w:pPr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A </w:t>
      </w:r>
      <w:r w:rsidRPr="00320748">
        <w:rPr>
          <w:rFonts w:ascii="Century Gothic" w:hAnsi="Century Gothic"/>
          <w:sz w:val="20"/>
          <w:szCs w:val="20"/>
        </w:rPr>
        <w:t xml:space="preserve">vízgazdálkodásról szóló 1995. évi LVII. törvény 44/D §-ának (8) bekezdése, s ezzel összhangban az Önkormányzat és a DRV Zrt között fennálló közszolgáltatási szerződés kimondja, hogy amennyiben az önkormányzat a </w:t>
      </w:r>
      <w:proofErr w:type="spellStart"/>
      <w:r w:rsidRPr="00320748">
        <w:rPr>
          <w:rFonts w:ascii="Century Gothic" w:hAnsi="Century Gothic"/>
          <w:sz w:val="20"/>
          <w:szCs w:val="20"/>
        </w:rPr>
        <w:t>Vgtv</w:t>
      </w:r>
      <w:proofErr w:type="spellEnd"/>
      <w:r w:rsidRPr="00320748">
        <w:rPr>
          <w:rFonts w:ascii="Century Gothic" w:hAnsi="Century Gothic"/>
          <w:sz w:val="20"/>
          <w:szCs w:val="20"/>
        </w:rPr>
        <w:t>. 44/D §-</w:t>
      </w:r>
      <w:proofErr w:type="spellStart"/>
      <w:r w:rsidRPr="00320748">
        <w:rPr>
          <w:rFonts w:ascii="Century Gothic" w:hAnsi="Century Gothic"/>
          <w:sz w:val="20"/>
          <w:szCs w:val="20"/>
        </w:rPr>
        <w:t>ában</w:t>
      </w:r>
      <w:proofErr w:type="spellEnd"/>
      <w:r w:rsidRPr="00320748">
        <w:rPr>
          <w:rFonts w:ascii="Century Gothic" w:hAnsi="Century Gothic"/>
          <w:sz w:val="20"/>
          <w:szCs w:val="20"/>
        </w:rPr>
        <w:t xml:space="preserve"> foglalt előírásoknak megfelelően előterjesztett díjjavaslatnál alacsonyabb mértékben állapítja meg a díjat, vagy nem január 1. napától kezdődően állapítja meg annak ellenére, hogy a közszolgáltató díjjavaslatát határidőig bezárólag megküldte, úgy az Önkormányzat a különbséget díjkompenzáció formájában kötel</w:t>
      </w:r>
      <w:r>
        <w:rPr>
          <w:rFonts w:ascii="Century Gothic" w:hAnsi="Century Gothic"/>
          <w:sz w:val="20"/>
          <w:szCs w:val="20"/>
        </w:rPr>
        <w:t>e</w:t>
      </w:r>
      <w:r w:rsidRPr="00320748">
        <w:rPr>
          <w:rFonts w:ascii="Century Gothic" w:hAnsi="Century Gothic"/>
          <w:sz w:val="20"/>
          <w:szCs w:val="20"/>
        </w:rPr>
        <w:t xml:space="preserve">s a közszolgáltatónak megfizetni. </w:t>
      </w:r>
    </w:p>
    <w:p w14:paraId="6BDB4DEB" w14:textId="77777777" w:rsidR="00954950" w:rsidRPr="00320748" w:rsidRDefault="00954950" w:rsidP="00954950">
      <w:p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A tervezett jogszabály várható következményei, különösen</w:t>
      </w:r>
    </w:p>
    <w:p w14:paraId="57491DEA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társadalmi hatás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: A rendeletnek közvetlen társadalmi hatása nincs</w:t>
      </w:r>
    </w:p>
    <w:p w14:paraId="2B0D896E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gazdasági hatása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: Gazdasági, költségvetési hatásai nem mérhetők.</w:t>
      </w:r>
    </w:p>
    <w:p w14:paraId="415DF842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költségvetési hatásai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: a tervezetnek költségvetési hatása nincs, amennyiben a javasolt díjtételt a képviselő-testület elfogadja.</w:t>
      </w:r>
    </w:p>
    <w:p w14:paraId="4D09D7C3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környezeti következményei: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 a talajterhelés, szennyezés csökkenthető</w:t>
      </w:r>
    </w:p>
    <w:p w14:paraId="0DA7413D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egészségi következményei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: a tervezetnek egészségi következménye nincs</w:t>
      </w:r>
    </w:p>
    <w:p w14:paraId="647E7C20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 xml:space="preserve">adminisztratív </w:t>
      </w:r>
      <w:proofErr w:type="spellStart"/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terheket</w:t>
      </w:r>
      <w:proofErr w:type="spellEnd"/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 xml:space="preserve"> befolyásoló hatásai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: a tervezet a jelenlegi adminisztratív terhet nem emeli</w:t>
      </w:r>
    </w:p>
    <w:p w14:paraId="636CD5F4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megalkotásának szükségessége: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 a megfelelés a jogszabályi előírásoknak</w:t>
      </w:r>
    </w:p>
    <w:p w14:paraId="6158D4EB" w14:textId="77777777" w:rsidR="00954950" w:rsidRPr="00320748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color w:val="231F20"/>
          <w:spacing w:val="-2"/>
          <w:sz w:val="20"/>
          <w:szCs w:val="20"/>
        </w:rPr>
      </w:pPr>
      <w:r w:rsidRPr="00320748">
        <w:rPr>
          <w:rFonts w:ascii="Century Gothic" w:hAnsi="Century Gothic"/>
          <w:b/>
          <w:color w:val="231F20"/>
          <w:spacing w:val="-2"/>
          <w:sz w:val="20"/>
          <w:szCs w:val="20"/>
        </w:rPr>
        <w:t>alkalmazásához szükséges személyi, szervezeti, tárgyi és pénzügyi feltételek:</w:t>
      </w: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 xml:space="preserve"> a jelenlegi feltételeken felül többletet nem igényel.</w:t>
      </w:r>
    </w:p>
    <w:p w14:paraId="27ED2F10" w14:textId="77777777" w:rsidR="00954950" w:rsidRPr="00320748" w:rsidRDefault="00954950" w:rsidP="00954950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320748">
        <w:rPr>
          <w:rFonts w:ascii="Century Gothic" w:hAnsi="Century Gothic"/>
          <w:color w:val="231F20"/>
          <w:spacing w:val="-2"/>
          <w:sz w:val="20"/>
          <w:szCs w:val="20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51333DAC" w14:textId="77777777" w:rsidR="00954950" w:rsidRPr="00320748" w:rsidRDefault="00954950" w:rsidP="00954950">
      <w:pPr>
        <w:rPr>
          <w:rFonts w:ascii="Century Gothic" w:hAnsi="Century Gothic"/>
          <w:sz w:val="20"/>
          <w:szCs w:val="20"/>
        </w:rPr>
      </w:pPr>
    </w:p>
    <w:p w14:paraId="35D1C68D" w14:textId="77777777" w:rsidR="00954950" w:rsidRDefault="00954950" w:rsidP="00954950">
      <w:pPr>
        <w:jc w:val="both"/>
        <w:rPr>
          <w:rFonts w:ascii="Century Gothic" w:hAnsi="Century Gothic"/>
          <w:b/>
          <w:color w:val="231F20"/>
          <w:spacing w:val="-2"/>
        </w:rPr>
      </w:pPr>
    </w:p>
    <w:p w14:paraId="4BBAEB9C" w14:textId="77777777" w:rsidR="00954950" w:rsidRDefault="00954950" w:rsidP="00954950">
      <w:pPr>
        <w:jc w:val="both"/>
        <w:rPr>
          <w:rFonts w:ascii="Century Gothic" w:hAnsi="Century Gothic"/>
          <w:b/>
          <w:color w:val="231F20"/>
          <w:spacing w:val="-2"/>
        </w:rPr>
      </w:pPr>
    </w:p>
    <w:p w14:paraId="5CED9816" w14:textId="77777777" w:rsidR="00954950" w:rsidRDefault="00954950" w:rsidP="00954950"/>
    <w:p w14:paraId="21F06AB9" w14:textId="77777777" w:rsidR="00E253D6" w:rsidRDefault="00E253D6"/>
    <w:sectPr w:rsidR="00E253D6" w:rsidSect="00B66CA9">
      <w:headerReference w:type="default" r:id="rId8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D0A7D" w14:textId="77777777" w:rsidR="00377A64" w:rsidRDefault="00377A64">
      <w:pPr>
        <w:spacing w:after="0" w:line="240" w:lineRule="auto"/>
      </w:pPr>
      <w:r>
        <w:separator/>
      </w:r>
    </w:p>
  </w:endnote>
  <w:endnote w:type="continuationSeparator" w:id="0">
    <w:p w14:paraId="1D38AA94" w14:textId="77777777" w:rsidR="00377A64" w:rsidRDefault="00377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B50AB" w14:textId="77777777" w:rsidR="00377A64" w:rsidRDefault="00377A64">
      <w:pPr>
        <w:spacing w:after="0" w:line="240" w:lineRule="auto"/>
      </w:pPr>
      <w:r>
        <w:separator/>
      </w:r>
    </w:p>
  </w:footnote>
  <w:footnote w:type="continuationSeparator" w:id="0">
    <w:p w14:paraId="548AFFF0" w14:textId="77777777" w:rsidR="00377A64" w:rsidRDefault="00377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984B5" w14:textId="4C7DFD06" w:rsidR="00B66CA9" w:rsidRDefault="00377A64">
    <w:pPr>
      <w:pStyle w:val="lfej"/>
      <w:jc w:val="center"/>
    </w:pPr>
  </w:p>
  <w:p w14:paraId="5474E367" w14:textId="77777777" w:rsidR="00B66CA9" w:rsidRDefault="00377A6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F3860"/>
    <w:multiLevelType w:val="hybridMultilevel"/>
    <w:tmpl w:val="10A01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950"/>
    <w:rsid w:val="00042041"/>
    <w:rsid w:val="00042699"/>
    <w:rsid w:val="000755FD"/>
    <w:rsid w:val="000E3A18"/>
    <w:rsid w:val="00107356"/>
    <w:rsid w:val="00141070"/>
    <w:rsid w:val="001A62C8"/>
    <w:rsid w:val="001E51F9"/>
    <w:rsid w:val="00210D25"/>
    <w:rsid w:val="00223817"/>
    <w:rsid w:val="003228F0"/>
    <w:rsid w:val="00377A64"/>
    <w:rsid w:val="0056198C"/>
    <w:rsid w:val="005745E2"/>
    <w:rsid w:val="006A1387"/>
    <w:rsid w:val="006F3617"/>
    <w:rsid w:val="007712C8"/>
    <w:rsid w:val="007E12B2"/>
    <w:rsid w:val="008E460C"/>
    <w:rsid w:val="008F41F5"/>
    <w:rsid w:val="00954950"/>
    <w:rsid w:val="009765AE"/>
    <w:rsid w:val="00A40A91"/>
    <w:rsid w:val="00A64B36"/>
    <w:rsid w:val="00B0572F"/>
    <w:rsid w:val="00CC2FAC"/>
    <w:rsid w:val="00D2421A"/>
    <w:rsid w:val="00D44156"/>
    <w:rsid w:val="00DB0135"/>
    <w:rsid w:val="00DE64E0"/>
    <w:rsid w:val="00E14277"/>
    <w:rsid w:val="00E253D6"/>
    <w:rsid w:val="00E86483"/>
    <w:rsid w:val="00EB51E2"/>
    <w:rsid w:val="00EE2898"/>
    <w:rsid w:val="00F1288B"/>
    <w:rsid w:val="00F6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059B"/>
  <w15:chartTrackingRefBased/>
  <w15:docId w15:val="{EE850E7B-33F2-4380-A258-F27566B2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4950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5745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745E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745E2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val="x-none"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745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549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4950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210D2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210D2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B013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5745E2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745E2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745E2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paragraph" w:customStyle="1" w:styleId="FCm">
    <w:name w:val="FôCím"/>
    <w:basedOn w:val="Norml"/>
    <w:rsid w:val="005745E2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745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lb">
    <w:name w:val="footer"/>
    <w:basedOn w:val="Norml"/>
    <w:link w:val="llbChar"/>
    <w:uiPriority w:val="99"/>
    <w:unhideWhenUsed/>
    <w:rsid w:val="0057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5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6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744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37</cp:revision>
  <dcterms:created xsi:type="dcterms:W3CDTF">2021-10-15T04:27:00Z</dcterms:created>
  <dcterms:modified xsi:type="dcterms:W3CDTF">2021-11-10T09:51:00Z</dcterms:modified>
</cp:coreProperties>
</file>