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C1DAF" w14:textId="77777777" w:rsidR="0072575B" w:rsidRPr="0072575B" w:rsidRDefault="0072575B" w:rsidP="0072575B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</w:pPr>
      <w:r w:rsidRPr="0072575B"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  <w:t>ELŐTERJESZTÉS</w:t>
      </w:r>
    </w:p>
    <w:p w14:paraId="5F9B851C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C4E6866" w14:textId="1FD514E8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noProof/>
          <w:sz w:val="32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255D4927" wp14:editId="6836F800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07FA1B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2812AAC3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F2DC338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sz w:val="32"/>
          <w:szCs w:val="24"/>
          <w:lang w:eastAsia="hu-HU"/>
        </w:rPr>
        <w:t>BALATONMÁRIAFÜRDŐ KÖZSÉG</w:t>
      </w:r>
    </w:p>
    <w:p w14:paraId="49A72704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sz w:val="32"/>
          <w:szCs w:val="24"/>
          <w:lang w:eastAsia="hu-HU"/>
        </w:rPr>
        <w:t>ÖNKORMÁNYZAT</w:t>
      </w:r>
    </w:p>
    <w:p w14:paraId="2C909F0B" w14:textId="77777777" w:rsidR="0072575B" w:rsidRPr="0072575B" w:rsidRDefault="0072575B" w:rsidP="0072575B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</w:pPr>
      <w:r w:rsidRPr="0072575B"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  <w:t>KÉPVISELŐ-TESTÜLETÉNEK</w:t>
      </w:r>
    </w:p>
    <w:p w14:paraId="433233A0" w14:textId="77777777" w:rsidR="0072575B" w:rsidRPr="0072575B" w:rsidRDefault="0072575B" w:rsidP="0072575B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24"/>
          <w:lang w:val="x-none" w:eastAsia="hu-HU"/>
        </w:rPr>
      </w:pPr>
    </w:p>
    <w:p w14:paraId="77F357AA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4D770D18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B3E20C4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sz w:val="32"/>
          <w:szCs w:val="24"/>
          <w:lang w:eastAsia="hu-HU"/>
        </w:rPr>
        <w:t>2022. JANUÁR 24-EI NYILVÁNOS ÜLÉSÉRE</w:t>
      </w:r>
    </w:p>
    <w:p w14:paraId="497BF13E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32E2C30C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40616FF0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75101616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052C4A46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sz w:val="32"/>
          <w:szCs w:val="24"/>
          <w:lang w:eastAsia="hu-HU"/>
        </w:rPr>
        <w:t>TÁRGY:</w:t>
      </w:r>
    </w:p>
    <w:p w14:paraId="4137D6E3" w14:textId="54727613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  <w:t>KÖZTISZTVISELŐK 2022. évi teljesítménykövetelmény</w:t>
      </w:r>
      <w:r w:rsidR="008D08F4"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  <w:t>ek alapját képező kiemelt célok meghatározása</w:t>
      </w:r>
    </w:p>
    <w:p w14:paraId="163BA034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087DA749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57875E6E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F3E83AA" w14:textId="5A7D87E4" w:rsid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1CD30B8C" w14:textId="676ECBE7" w:rsid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20915927" w14:textId="0315E6CB" w:rsid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A43A101" w14:textId="0F84AA77" w:rsid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6F8C4E73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1C4E0B91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91E886C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sz w:val="32"/>
          <w:szCs w:val="24"/>
          <w:lang w:eastAsia="hu-HU"/>
        </w:rPr>
        <w:t>ELŐADÓ:</w:t>
      </w:r>
    </w:p>
    <w:p w14:paraId="236493C4" w14:textId="1A175F8E" w:rsidR="0072575B" w:rsidRPr="001A2E20" w:rsidRDefault="001A2E20" w:rsidP="0072575B">
      <w:pPr>
        <w:keepNext/>
        <w:keepLines/>
        <w:tabs>
          <w:tab w:val="left" w:pos="0"/>
        </w:tabs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24"/>
          <w:lang w:eastAsia="hu-HU"/>
        </w:rPr>
        <w:t>MESTYÁN VALÉRIA</w:t>
      </w:r>
    </w:p>
    <w:p w14:paraId="64859BD8" w14:textId="7BBE6C90" w:rsidR="0072575B" w:rsidRPr="001A2E20" w:rsidRDefault="001A2E20" w:rsidP="0072575B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  <w:t>CÍMZETES FŐJEGYZŐ</w:t>
      </w:r>
    </w:p>
    <w:p w14:paraId="74B89EE8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69B52AA2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38FAFA52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0F61E0E0" w14:textId="77777777" w:rsidR="0072575B" w:rsidRPr="0072575B" w:rsidRDefault="0072575B" w:rsidP="0072575B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38FCB6FC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Készült:</w:t>
      </w:r>
      <w:r w:rsidRPr="0072575B">
        <w:rPr>
          <w:rFonts w:ascii="Cambria" w:eastAsia="Times New Roman" w:hAnsi="Cambria" w:cs="Times New Roman"/>
          <w:bCs/>
          <w:sz w:val="24"/>
          <w:szCs w:val="24"/>
          <w:lang w:eastAsia="hu-HU"/>
        </w:rPr>
        <w:tab/>
        <w:t>Balatonmáriafürdő Község Önkormányzati Képviselő-testületének 2022. január 24-ei nyilvános testületi ülésére</w:t>
      </w:r>
    </w:p>
    <w:p w14:paraId="5204B192" w14:textId="77777777" w:rsidR="0072575B" w:rsidRPr="0072575B" w:rsidRDefault="0072575B" w:rsidP="0072575B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</w:p>
    <w:p w14:paraId="09B894EE" w14:textId="64375509" w:rsidR="0072575B" w:rsidRPr="0072575B" w:rsidRDefault="0072575B" w:rsidP="008D08F4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Tárgy:</w:t>
      </w:r>
      <w:r w:rsidRPr="0072575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 w:rsidRPr="0072575B"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>K</w:t>
      </w:r>
      <w:r w:rsidRPr="0072575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öztisztviselők 2022. </w:t>
      </w:r>
      <w:r w:rsidR="008D08F4" w:rsidRPr="0072575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évi </w:t>
      </w:r>
      <w:r w:rsidR="008D08F4" w:rsidRPr="008D08F4">
        <w:rPr>
          <w:rFonts w:ascii="Cambria" w:eastAsia="Times New Roman" w:hAnsi="Cambria" w:cs="Times New Roman"/>
          <w:sz w:val="24"/>
          <w:szCs w:val="24"/>
          <w:lang w:eastAsia="hu-HU"/>
        </w:rPr>
        <w:t>teljesítménykövetelmények alapját képező kiemelt célok meghatározása</w:t>
      </w:r>
    </w:p>
    <w:p w14:paraId="093631FA" w14:textId="77777777" w:rsidR="0072575B" w:rsidRPr="0072575B" w:rsidRDefault="0072575B" w:rsidP="0072575B">
      <w:pPr>
        <w:tabs>
          <w:tab w:val="left" w:pos="0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7F27EA2E" w14:textId="77777777" w:rsidR="0072575B" w:rsidRPr="0072575B" w:rsidRDefault="0072575B" w:rsidP="0072575B">
      <w:pPr>
        <w:tabs>
          <w:tab w:val="left" w:pos="0"/>
          <w:tab w:val="left" w:pos="3686"/>
        </w:tabs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72575B">
        <w:rPr>
          <w:rFonts w:ascii="Cambria" w:eastAsia="Times New Roman" w:hAnsi="Cambria" w:cs="Times New Roman"/>
          <w:b/>
          <w:sz w:val="24"/>
          <w:szCs w:val="24"/>
          <w:lang w:eastAsia="hu-HU"/>
        </w:rPr>
        <w:t>Tisztelt Képviselő-testület!</w:t>
      </w:r>
    </w:p>
    <w:p w14:paraId="394FE6EA" w14:textId="77777777" w:rsidR="0072575B" w:rsidRPr="0072575B" w:rsidRDefault="0072575B" w:rsidP="0072575B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46362A18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26F9AC78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 közszolgálati tisztviselőkről szóló 2011. évi CXCIX. törvény (továbbiakban </w:t>
      </w:r>
      <w:proofErr w:type="spellStart"/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Kttv</w:t>
      </w:r>
      <w:proofErr w:type="spellEnd"/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.) 130. §-a értelmében a kormánytisztviselő (köztisztviselő) munkateljesítményét a munkáltatói jogkör gyakorlója mérlegelési jogkörében eljárva írásban értékeli (teljesítményértékelés).</w:t>
      </w:r>
    </w:p>
    <w:p w14:paraId="535A3196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462D37F6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14:paraId="4FC8A47E" w14:textId="77777777" w:rsidR="009829F8" w:rsidRPr="003A4569" w:rsidRDefault="009829F8" w:rsidP="009829F8">
      <w:pPr>
        <w:pStyle w:val="Szvegtrzs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 </w:t>
      </w:r>
    </w:p>
    <w:p w14:paraId="5F5B6497" w14:textId="77777777" w:rsidR="009829F8" w:rsidRPr="003A4569" w:rsidRDefault="009829F8" w:rsidP="009829F8">
      <w:pPr>
        <w:pStyle w:val="Szvegtrzs"/>
        <w:rPr>
          <w:rFonts w:ascii="Bahnschrift Light" w:hAnsi="Bahnschrift Light" w:cs="Arial"/>
          <w:sz w:val="20"/>
          <w:szCs w:val="20"/>
        </w:rPr>
      </w:pPr>
      <w:r w:rsidRPr="003A4569">
        <w:rPr>
          <w:rFonts w:ascii="Bahnschrift Light" w:hAnsi="Bahnschrift Light" w:cs="Arial"/>
          <w:sz w:val="20"/>
          <w:szCs w:val="20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14:paraId="502EE77F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hAnsi="Bahnschrift Light" w:cs="Arial"/>
          <w:iCs/>
          <w:sz w:val="20"/>
          <w:szCs w:val="20"/>
        </w:rPr>
      </w:pPr>
    </w:p>
    <w:p w14:paraId="3273C988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hAnsi="Bahnschrift Light" w:cs="Arial"/>
          <w:iCs/>
          <w:sz w:val="20"/>
          <w:szCs w:val="20"/>
        </w:rPr>
      </w:pPr>
      <w:r w:rsidRPr="003A4569">
        <w:rPr>
          <w:rFonts w:ascii="Bahnschrift Light" w:hAnsi="Bahnschrift Light" w:cs="Arial"/>
          <w:iCs/>
          <w:sz w:val="20"/>
          <w:szCs w:val="20"/>
        </w:rPr>
        <w:t>Az így megfogalmazott célok az önkormányzat működésére, a közigazgatási ügyek döntésre való előkészítésével és végrehajtásával kapcsolatos feladatok ellátására, a megfogalmazott feladatok végrehajtására terjednek ki.</w:t>
      </w:r>
    </w:p>
    <w:p w14:paraId="1F072A72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70F40831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A 2021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. évi teljesítményértékelés és minősítés eredménye:</w:t>
      </w:r>
    </w:p>
    <w:p w14:paraId="5CEB2327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97"/>
        <w:gridCol w:w="1897"/>
        <w:gridCol w:w="1898"/>
        <w:gridCol w:w="1898"/>
        <w:gridCol w:w="1898"/>
      </w:tblGrid>
      <w:tr w:rsidR="009829F8" w:rsidRPr="003A4569" w14:paraId="51F83BD5" w14:textId="77777777" w:rsidTr="00544D31">
        <w:tc>
          <w:tcPr>
            <w:tcW w:w="1897" w:type="dxa"/>
          </w:tcPr>
          <w:p w14:paraId="43B089FA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kivételes teljesítmény100-90 %</w:t>
            </w:r>
          </w:p>
        </w:tc>
        <w:tc>
          <w:tcPr>
            <w:tcW w:w="1897" w:type="dxa"/>
          </w:tcPr>
          <w:p w14:paraId="66AA0A7E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jó teljesítmény</w:t>
            </w:r>
          </w:p>
          <w:p w14:paraId="24617957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89,99-70 %</w:t>
            </w:r>
          </w:p>
        </w:tc>
        <w:tc>
          <w:tcPr>
            <w:tcW w:w="1898" w:type="dxa"/>
          </w:tcPr>
          <w:p w14:paraId="4A78B1DB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megfelelő teljesítény</w:t>
            </w:r>
          </w:p>
          <w:p w14:paraId="134C01B1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69,99 – 50 %</w:t>
            </w:r>
          </w:p>
        </w:tc>
        <w:tc>
          <w:tcPr>
            <w:tcW w:w="1898" w:type="dxa"/>
          </w:tcPr>
          <w:p w14:paraId="65E9A2B0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átlag alatti teljesítmény</w:t>
            </w:r>
          </w:p>
          <w:p w14:paraId="4F132D67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 xml:space="preserve">49,99 – 40 </w:t>
            </w:r>
          </w:p>
        </w:tc>
        <w:tc>
          <w:tcPr>
            <w:tcW w:w="1898" w:type="dxa"/>
          </w:tcPr>
          <w:p w14:paraId="2DC19EBD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elfogadhatatlan</w:t>
            </w:r>
          </w:p>
          <w:p w14:paraId="77F375B9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39,99-0 %</w:t>
            </w:r>
          </w:p>
        </w:tc>
      </w:tr>
      <w:tr w:rsidR="009829F8" w:rsidRPr="003A4569" w14:paraId="1469D540" w14:textId="77777777" w:rsidTr="00544D31">
        <w:tc>
          <w:tcPr>
            <w:tcW w:w="1897" w:type="dxa"/>
          </w:tcPr>
          <w:p w14:paraId="3B1C3D82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897" w:type="dxa"/>
          </w:tcPr>
          <w:p w14:paraId="457089FB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898" w:type="dxa"/>
          </w:tcPr>
          <w:p w14:paraId="096A2F4A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98" w:type="dxa"/>
          </w:tcPr>
          <w:p w14:paraId="49A4D9D6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98" w:type="dxa"/>
          </w:tcPr>
          <w:p w14:paraId="5445CA2C" w14:textId="77777777"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0</w:t>
            </w:r>
          </w:p>
        </w:tc>
      </w:tr>
    </w:tbl>
    <w:p w14:paraId="3B26B4DE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56F58077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Az értékelés és minősítés központi rendszerben (TÉR) történik. 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Az elmúlt évben 2 fő tekintetében nem volt értékelés, mivel próbaidős időszakban voltak. </w:t>
      </w:r>
    </w:p>
    <w:p w14:paraId="234E2A93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jegyző esetében Balatonkeresztúr Község Polgármestere, a köztisztviselők tekintetében a jegyző az értékelést és minősítést elvégezte.</w:t>
      </w:r>
    </w:p>
    <w:p w14:paraId="08C41EF9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 személyi irat részét képező dokumentumokat a munkavállalók átvették. </w:t>
      </w:r>
    </w:p>
    <w:p w14:paraId="66E4FA91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796D6AC8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A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fenntartó önkormányzatok Képviselő-testületeinek évente meg kell határoznia a Közös Önkormányzati Hivatal stratégiai célkitűzéseit, amely a köztisztviselők egyéni teljesítménykövetelményeinek és teljesítményértékelésének alapját jelenti. </w:t>
      </w:r>
    </w:p>
    <w:p w14:paraId="75A68040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0F93125C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Fentiek figyele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mbevételével teszek javaslatot mind három fenntartó Önkormányzat Képviselő-testülete számára </w:t>
      </w:r>
      <w:proofErr w:type="gramStart"/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 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Közös</w:t>
      </w:r>
      <w:proofErr w:type="gramEnd"/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Önkormányzati Hivatal 20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22.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évi stratégiai céljainak meghatározására.</w:t>
      </w:r>
    </w:p>
    <w:p w14:paraId="183417AF" w14:textId="77777777"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 </w:t>
      </w:r>
    </w:p>
    <w:p w14:paraId="217D5A42" w14:textId="77777777"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 </w:t>
      </w:r>
    </w:p>
    <w:p w14:paraId="60FC6CF7" w14:textId="77777777"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Balatonkeresztúr, </w:t>
      </w: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2022. 01. 04.</w:t>
      </w:r>
    </w:p>
    <w:p w14:paraId="4EED3B83" w14:textId="77777777"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i/>
          <w:iCs/>
          <w:sz w:val="20"/>
          <w:szCs w:val="20"/>
          <w:lang w:eastAsia="hu-HU"/>
        </w:rPr>
        <w:t> </w:t>
      </w:r>
    </w:p>
    <w:p w14:paraId="7E10ED1F" w14:textId="77777777" w:rsidR="009829F8" w:rsidRPr="003A4569" w:rsidRDefault="009829F8" w:rsidP="009829F8">
      <w:pPr>
        <w:spacing w:after="0" w:line="240" w:lineRule="auto"/>
        <w:jc w:val="right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Mestyán Valéria </w:t>
      </w:r>
      <w:proofErr w:type="spellStart"/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sk</w:t>
      </w:r>
      <w:proofErr w:type="spellEnd"/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.</w:t>
      </w:r>
    </w:p>
    <w:p w14:paraId="6A65CAFA" w14:textId="77777777" w:rsidR="009829F8" w:rsidRPr="003A4569" w:rsidRDefault="009829F8" w:rsidP="009829F8">
      <w:pPr>
        <w:spacing w:after="0" w:line="240" w:lineRule="auto"/>
        <w:jc w:val="right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címzetes főjegyző </w:t>
      </w:r>
    </w:p>
    <w:p w14:paraId="5E28B774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 </w:t>
      </w:r>
    </w:p>
    <w:p w14:paraId="5B12C6CA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7A611190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5DAC318C" w14:textId="77777777" w:rsidR="009829F8" w:rsidRPr="003A4569" w:rsidRDefault="009829F8" w:rsidP="0072575B">
      <w:pPr>
        <w:spacing w:after="0" w:line="240" w:lineRule="auto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31F5B482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3A1AA13D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5CDB39C9" w14:textId="77777777" w:rsidR="009829F8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6144CD54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2785EC47" w14:textId="77777777"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Határozati javaslat</w:t>
      </w:r>
    </w:p>
    <w:p w14:paraId="57C634B0" w14:textId="77777777"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Balatonberény Község Önkormányzat Képviselő-testületének </w:t>
      </w: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br/>
      </w: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Balatonkeresztúr Község Önkormányzat </w:t>
      </w: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Képviselő-testületének</w:t>
      </w:r>
    </w:p>
    <w:p w14:paraId="69E0160F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Balatonmáriafürdő Község Önkormányzat Képviselő-testületének</w:t>
      </w:r>
    </w:p>
    <w:p w14:paraId="54BB1A49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28EC3E62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 …/2022</w:t>
      </w: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.(</w:t>
      </w:r>
      <w:proofErr w:type="gramStart"/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I..</w:t>
      </w:r>
      <w:proofErr w:type="gramEnd"/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 </w:t>
      </w:r>
      <w:proofErr w:type="gramStart"/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….</w:t>
      </w:r>
      <w:proofErr w:type="gramEnd"/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) határozata </w:t>
      </w:r>
    </w:p>
    <w:p w14:paraId="0A22039B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55F10828" w14:textId="77777777"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a 2022.</w:t>
      </w: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 évi köztisztviselői teljesítménykövetelmények alapját képező kiemelt célokról</w:t>
      </w:r>
    </w:p>
    <w:p w14:paraId="1AD2BEE0" w14:textId="77777777"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21F150C6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Balatonkeresztúri Közös Önkormányzati </w:t>
      </w:r>
      <w:r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>Hivatal köztisztviselőinek 2022</w:t>
      </w: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 évi teljesítménykövetelmények alapját képező kiemelt céljait a következők szerint</w:t>
      </w:r>
      <w:r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 határozza meg</w:t>
      </w: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>:</w:t>
      </w:r>
    </w:p>
    <w:p w14:paraId="41B474A7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42EBF167" w14:textId="77777777" w:rsidR="009829F8" w:rsidRPr="003A4569" w:rsidRDefault="009829F8" w:rsidP="009829F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Az önkormányzatokra vonatkozó átfogó célkitűzések:</w:t>
      </w:r>
    </w:p>
    <w:p w14:paraId="7098C1E0" w14:textId="77777777" w:rsidR="009829F8" w:rsidRDefault="009829F8" w:rsidP="009829F8">
      <w:pPr>
        <w:pStyle w:val="Listaszerbekezds"/>
        <w:spacing w:after="0" w:line="240" w:lineRule="auto"/>
        <w:jc w:val="both"/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>A fenntartó önkormányzatok képviselő-testületei és bizottságai munkájának hatékony segítése, az ülések előkészítése, a döntésekhez szükséges információk</w:t>
      </w: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 </w:t>
      </w: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biztosítása. </w:t>
      </w:r>
      <w:r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A Magyar Államkincstár és az Állami Számvevőszék 2021-22. évi ellenőrzési jelentéseiben meghatározott feladatok, hibák, hiányosságok feldolgozása, megoldása, intézkedési terv elkészítése. </w:t>
      </w:r>
    </w:p>
    <w:p w14:paraId="2F5296D4" w14:textId="77777777" w:rsidR="009829F8" w:rsidRPr="003A4569" w:rsidRDefault="009829F8" w:rsidP="009829F8">
      <w:pPr>
        <w:pStyle w:val="Listaszerbekezds"/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14:paraId="0E70FE96" w14:textId="77777777" w:rsidR="009829F8" w:rsidRPr="003A4569" w:rsidRDefault="009829F8" w:rsidP="009829F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Az egyes, önkormányzat által ellátott feladatokra, tevékenységekre vonatkozó célkitűzések: </w:t>
      </w:r>
    </w:p>
    <w:p w14:paraId="1FE3837B" w14:textId="77777777"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Az Önkormányzat 20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22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. évi költségvetésének végrehajtása során a szabályszerűség, célszerűség, hatékonyság és takarékos gazdálkodás biztosítása. </w:t>
      </w:r>
    </w:p>
    <w:p w14:paraId="7637C7FE" w14:textId="77777777"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14:paraId="550051F5" w14:textId="77777777"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köztisztviselők feladataikat határidőben, a jogszabályoknak megfelelően, szakszerűen lássák el.</w:t>
      </w:r>
    </w:p>
    <w:p w14:paraId="0855196C" w14:textId="77777777" w:rsidR="009829F8" w:rsidRPr="00BF50E7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Különös figyelmet kell fordítsanak az ügyfelek felelősségteljese, a lehető leggyorsabb kiszolgálására. A lakosság és a köztisztviselők közötti személyes ügyfélfogadás esetén a fokozott biztonsági, járványvédelmi szabályok betartása.</w:t>
      </w:r>
    </w:p>
    <w:p w14:paraId="43BCE98C" w14:textId="77777777"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Önkormányzati rendeletek hatályosulásának folyamatos vizsgálata </w:t>
      </w:r>
      <w:proofErr w:type="gramStart"/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a  jogszabályi</w:t>
      </w:r>
      <w:proofErr w:type="gramEnd"/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és az élethelyzetek változása kapcsán.</w:t>
      </w:r>
    </w:p>
    <w:p w14:paraId="41588B3B" w14:textId="77777777" w:rsidR="009829F8" w:rsidRPr="003A4569" w:rsidRDefault="009829F8" w:rsidP="009829F8">
      <w:pPr>
        <w:tabs>
          <w:tab w:val="left" w:pos="284"/>
        </w:tabs>
        <w:spacing w:after="0" w:line="240" w:lineRule="auto"/>
        <w:ind w:left="720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7CE23B6F" w14:textId="77777777" w:rsidR="009829F8" w:rsidRPr="003A4569" w:rsidRDefault="009829F8" w:rsidP="009829F8">
      <w:pPr>
        <w:pStyle w:val="Listaszerbekezds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b/>
          <w:sz w:val="20"/>
          <w:szCs w:val="20"/>
        </w:rPr>
      </w:pPr>
      <w:r w:rsidRPr="003A4569">
        <w:rPr>
          <w:rFonts w:ascii="Bahnschrift Light" w:hAnsi="Bahnschrift Light"/>
          <w:b/>
          <w:sz w:val="20"/>
          <w:szCs w:val="20"/>
        </w:rPr>
        <w:t>Az önkormányzati feladatellátást segítő tevékenységekre vonatkozó célkitűzések:</w:t>
      </w:r>
    </w:p>
    <w:p w14:paraId="0E0F0BD6" w14:textId="77777777" w:rsidR="009829F8" w:rsidRPr="003A4569" w:rsidRDefault="009829F8" w:rsidP="009829F8">
      <w:pPr>
        <w:pStyle w:val="Listaszerbekezds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A pénzügyi – gazdálkodási tevékenység naprakész legyen, megfelelő információt nyújtson a döntéshozók számára.</w:t>
      </w:r>
    </w:p>
    <w:p w14:paraId="7245C39E" w14:textId="77777777" w:rsidR="009829F8" w:rsidRPr="003A4569" w:rsidRDefault="009829F8" w:rsidP="009829F8">
      <w:pPr>
        <w:pStyle w:val="Listaszerbekezds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 xml:space="preserve"> A helyi adók kivetése, a hátralékok kimutatása és átadásra behajtásra a Nemzeti Adó és Vámhivatalnak. Általában a helyi adók beszedésére,</w:t>
      </w:r>
      <w:r>
        <w:rPr>
          <w:rFonts w:ascii="Bahnschrift Light" w:hAnsi="Bahnschrift Light"/>
          <w:sz w:val="20"/>
          <w:szCs w:val="20"/>
        </w:rPr>
        <w:t xml:space="preserve"> felderítésére fokozott figyelem fordítás</w:t>
      </w:r>
      <w:r w:rsidRPr="003A4569">
        <w:rPr>
          <w:rFonts w:ascii="Bahnschrift Light" w:hAnsi="Bahnschrift Light"/>
          <w:sz w:val="20"/>
          <w:szCs w:val="20"/>
        </w:rPr>
        <w:t xml:space="preserve">. </w:t>
      </w:r>
    </w:p>
    <w:p w14:paraId="796E6B0C" w14:textId="77777777" w:rsidR="009829F8" w:rsidRDefault="009829F8" w:rsidP="009829F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  <w:t>Eseti célkitűzések</w:t>
      </w:r>
    </w:p>
    <w:p w14:paraId="1C0DA5DF" w14:textId="77777777" w:rsidR="009829F8" w:rsidRPr="003A4569" w:rsidRDefault="009829F8" w:rsidP="009829F8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  <w:t>2022. évi parlamenti választás és népszavazás lebonyolítása</w:t>
      </w:r>
    </w:p>
    <w:p w14:paraId="52A10EE3" w14:textId="77777777" w:rsidR="009829F8" w:rsidRPr="003A4569" w:rsidRDefault="009829F8" w:rsidP="009829F8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veszélyhelyzet megszűnését követően Balatonberény településen az időközi polgármester és képviselő választás szakszerű, jogszerű előkészítése, lebonyolítása.</w:t>
      </w:r>
    </w:p>
    <w:p w14:paraId="07C5011F" w14:textId="77777777" w:rsidR="009829F8" w:rsidRPr="003A4569" w:rsidRDefault="009829F8" w:rsidP="009829F8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A 2022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. évi országos általános népszámlálásban való közreműködés</w:t>
      </w:r>
    </w:p>
    <w:p w14:paraId="2BC8AFE5" w14:textId="77777777" w:rsidR="009829F8" w:rsidRPr="003A4569" w:rsidRDefault="009829F8" w:rsidP="009829F8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COVID-19 vírus által okozott járványhelyzet miatt keletkezett feladatok, problémák megoldása. Együttműködés az civilszervezetekkel, önkéntes segítőkkel, Alapszolgáltatási Központtal, háziorvosokkal, az esetleges ellátások megszervezésében, a lakosság információval való ellátása.</w:t>
      </w:r>
    </w:p>
    <w:p w14:paraId="4D10AF6B" w14:textId="77777777" w:rsidR="009829F8" w:rsidRPr="003A4569" w:rsidRDefault="009829F8" w:rsidP="009829F8">
      <w:pPr>
        <w:pStyle w:val="Listaszerbekezds"/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142683CD" w14:textId="77777777" w:rsidR="009829F8" w:rsidRPr="003A4569" w:rsidRDefault="009829F8" w:rsidP="008C4748">
      <w:pPr>
        <w:numPr>
          <w:ilvl w:val="0"/>
          <w:numId w:val="2"/>
        </w:numPr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 xml:space="preserve">A képviselő-testület </w:t>
      </w:r>
      <w:proofErr w:type="gramStart"/>
      <w:r>
        <w:rPr>
          <w:rFonts w:ascii="Bahnschrift Light" w:hAnsi="Bahnschrift Light"/>
          <w:sz w:val="20"/>
          <w:szCs w:val="20"/>
        </w:rPr>
        <w:t>felkéri  a</w:t>
      </w:r>
      <w:proofErr w:type="gramEnd"/>
      <w:r>
        <w:rPr>
          <w:rFonts w:ascii="Bahnschrift Light" w:hAnsi="Bahnschrift Light"/>
          <w:sz w:val="20"/>
          <w:szCs w:val="20"/>
        </w:rPr>
        <w:t xml:space="preserve"> </w:t>
      </w:r>
      <w:r w:rsidRPr="003A4569">
        <w:rPr>
          <w:rFonts w:ascii="Bahnschrift Light" w:hAnsi="Bahnschrift Light"/>
          <w:sz w:val="20"/>
          <w:szCs w:val="20"/>
        </w:rPr>
        <w:t>jegyzőt, hogy az Önkormányzati Hivatal köztisztviselői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>. évi egyéni teljesítmény</w:t>
      </w:r>
      <w:r>
        <w:rPr>
          <w:rFonts w:ascii="Bahnschrift Light" w:hAnsi="Bahnschrift Light"/>
          <w:sz w:val="20"/>
          <w:szCs w:val="20"/>
        </w:rPr>
        <w:t>követelményeinek meghatározásáról</w:t>
      </w:r>
      <w:r w:rsidRPr="003A4569">
        <w:rPr>
          <w:rFonts w:ascii="Bahnschrift Light" w:hAnsi="Bahnschrift Light"/>
          <w:sz w:val="20"/>
          <w:szCs w:val="20"/>
        </w:rPr>
        <w:t xml:space="preserve"> intézkedjen. </w:t>
      </w:r>
    </w:p>
    <w:p w14:paraId="249B007A" w14:textId="77777777" w:rsidR="009829F8" w:rsidRPr="003A4569" w:rsidRDefault="009829F8" w:rsidP="009829F8">
      <w:pPr>
        <w:spacing w:after="0" w:line="240" w:lineRule="auto"/>
        <w:ind w:left="708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Határidő: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>. január 31.</w:t>
      </w:r>
    </w:p>
    <w:p w14:paraId="696E1A37" w14:textId="77777777" w:rsidR="009829F8" w:rsidRPr="003A4569" w:rsidRDefault="009829F8" w:rsidP="009829F8">
      <w:pPr>
        <w:spacing w:after="0" w:line="240" w:lineRule="auto"/>
        <w:ind w:left="708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 xml:space="preserve">Felelős: Mestyán Valéria címzetes főjegyző </w:t>
      </w:r>
    </w:p>
    <w:p w14:paraId="3FF09E46" w14:textId="77777777" w:rsidR="009829F8" w:rsidRPr="003A4569" w:rsidRDefault="009829F8" w:rsidP="009829F8">
      <w:pPr>
        <w:spacing w:after="0" w:line="240" w:lineRule="auto"/>
        <w:ind w:left="360"/>
        <w:jc w:val="both"/>
        <w:rPr>
          <w:rFonts w:ascii="Bahnschrift Light" w:hAnsi="Bahnschrift Light"/>
          <w:sz w:val="20"/>
          <w:szCs w:val="20"/>
        </w:rPr>
      </w:pPr>
    </w:p>
    <w:p w14:paraId="0CF4CBA9" w14:textId="77777777" w:rsidR="009829F8" w:rsidRPr="003A4569" w:rsidRDefault="009829F8" w:rsidP="008C4748">
      <w:pPr>
        <w:numPr>
          <w:ilvl w:val="0"/>
          <w:numId w:val="2"/>
        </w:numPr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 xml:space="preserve">A </w:t>
      </w:r>
      <w:r w:rsidRPr="003A4569">
        <w:rPr>
          <w:rFonts w:ascii="Bahnschrift Light" w:hAnsi="Bahnschrift Light"/>
          <w:sz w:val="20"/>
          <w:szCs w:val="20"/>
        </w:rPr>
        <w:t>jegyző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>. évi egyéni teljesítményk</w:t>
      </w:r>
      <w:r>
        <w:rPr>
          <w:rFonts w:ascii="Bahnschrift Light" w:hAnsi="Bahnschrift Light"/>
          <w:sz w:val="20"/>
          <w:szCs w:val="20"/>
        </w:rPr>
        <w:t>övetelményeinek meghatározásáról Balatonkeresztúr Község Polgármestere gondoskodik.</w:t>
      </w:r>
    </w:p>
    <w:p w14:paraId="2635B8E9" w14:textId="77777777" w:rsidR="009829F8" w:rsidRPr="003A4569" w:rsidRDefault="009829F8" w:rsidP="009829F8">
      <w:pPr>
        <w:spacing w:after="0" w:line="240" w:lineRule="auto"/>
        <w:ind w:left="720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Határidő: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 xml:space="preserve"> január 31.</w:t>
      </w:r>
    </w:p>
    <w:p w14:paraId="7603840E" w14:textId="77777777" w:rsidR="009829F8" w:rsidRPr="003A4569" w:rsidRDefault="009829F8" w:rsidP="009829F8">
      <w:pPr>
        <w:spacing w:after="0" w:line="240" w:lineRule="auto"/>
        <w:ind w:left="720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Felelős: Kovács József polgármester</w:t>
      </w:r>
    </w:p>
    <w:p w14:paraId="7FEDFCE0" w14:textId="77777777" w:rsidR="009829F8" w:rsidRPr="003A4569" w:rsidRDefault="009829F8" w:rsidP="009829F8">
      <w:pPr>
        <w:spacing w:after="0" w:line="240" w:lineRule="auto"/>
        <w:ind w:left="720"/>
        <w:jc w:val="both"/>
        <w:rPr>
          <w:rFonts w:ascii="Bahnschrift Light" w:hAnsi="Bahnschrift Light"/>
          <w:sz w:val="20"/>
          <w:szCs w:val="20"/>
        </w:rPr>
      </w:pPr>
    </w:p>
    <w:p w14:paraId="680B1DE0" w14:textId="77777777" w:rsidR="009829F8" w:rsidRPr="003A4569" w:rsidRDefault="009829F8" w:rsidP="009829F8">
      <w:pPr>
        <w:spacing w:after="0" w:line="240" w:lineRule="auto"/>
        <w:ind w:left="720"/>
        <w:jc w:val="both"/>
        <w:rPr>
          <w:rFonts w:ascii="Bahnschrift Light" w:hAnsi="Bahnschrift Light"/>
          <w:sz w:val="20"/>
          <w:szCs w:val="20"/>
        </w:rPr>
      </w:pPr>
    </w:p>
    <w:p w14:paraId="0D860800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</w:p>
    <w:p w14:paraId="69ED9182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</w:p>
    <w:p w14:paraId="59F41A31" w14:textId="77777777"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14:paraId="049DAE35" w14:textId="77777777" w:rsidR="009829F8" w:rsidRPr="003A4569" w:rsidRDefault="009829F8" w:rsidP="009829F8">
      <w:pPr>
        <w:jc w:val="both"/>
        <w:rPr>
          <w:rFonts w:ascii="Bahnschrift Light" w:hAnsi="Bahnschrift Light"/>
          <w:sz w:val="20"/>
          <w:szCs w:val="20"/>
        </w:rPr>
      </w:pPr>
    </w:p>
    <w:sectPr w:rsidR="009829F8" w:rsidRPr="003A4569" w:rsidSect="003A4569">
      <w:headerReference w:type="default" r:id="rId8"/>
      <w:pgSz w:w="11906" w:h="16838"/>
      <w:pgMar w:top="993" w:right="99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402E" w14:textId="77777777" w:rsidR="00B52869" w:rsidRDefault="00B52869">
      <w:pPr>
        <w:spacing w:after="0" w:line="240" w:lineRule="auto"/>
      </w:pPr>
      <w:r>
        <w:separator/>
      </w:r>
    </w:p>
  </w:endnote>
  <w:endnote w:type="continuationSeparator" w:id="0">
    <w:p w14:paraId="4D23C5FF" w14:textId="77777777" w:rsidR="00B52869" w:rsidRDefault="00B5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7D88" w14:textId="77777777" w:rsidR="00B52869" w:rsidRDefault="00B52869">
      <w:pPr>
        <w:spacing w:after="0" w:line="240" w:lineRule="auto"/>
      </w:pPr>
      <w:r>
        <w:separator/>
      </w:r>
    </w:p>
  </w:footnote>
  <w:footnote w:type="continuationSeparator" w:id="0">
    <w:p w14:paraId="38D88382" w14:textId="77777777" w:rsidR="00B52869" w:rsidRDefault="00B5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16778"/>
      <w:docPartObj>
        <w:docPartGallery w:val="Page Numbers (Top of Page)"/>
        <w:docPartUnique/>
      </w:docPartObj>
    </w:sdtPr>
    <w:sdtEndPr/>
    <w:sdtContent>
      <w:p w14:paraId="0F5C3ACA" w14:textId="77777777" w:rsidR="003A4569" w:rsidRDefault="0051331B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1EC">
          <w:rPr>
            <w:noProof/>
          </w:rPr>
          <w:t>2</w:t>
        </w:r>
        <w:r>
          <w:fldChar w:fldCharType="end"/>
        </w:r>
      </w:p>
    </w:sdtContent>
  </w:sdt>
  <w:p w14:paraId="60481AF8" w14:textId="77777777" w:rsidR="003A4569" w:rsidRDefault="00B528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41D42"/>
    <w:multiLevelType w:val="hybridMultilevel"/>
    <w:tmpl w:val="8FFC40D6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9F8"/>
    <w:rsid w:val="000D4095"/>
    <w:rsid w:val="001A2E20"/>
    <w:rsid w:val="002201EC"/>
    <w:rsid w:val="0051331B"/>
    <w:rsid w:val="0072575B"/>
    <w:rsid w:val="008C4748"/>
    <w:rsid w:val="008D08F4"/>
    <w:rsid w:val="009829F8"/>
    <w:rsid w:val="00B52869"/>
    <w:rsid w:val="00D4193C"/>
    <w:rsid w:val="00E8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BEE4"/>
  <w15:chartTrackingRefBased/>
  <w15:docId w15:val="{8195E7BE-887A-4FAB-836C-5CBC9758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829F8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829F8"/>
    <w:pPr>
      <w:spacing w:after="0" w:line="240" w:lineRule="auto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9829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csostblzat">
    <w:name w:val="Table Grid"/>
    <w:basedOn w:val="Normltblzat"/>
    <w:uiPriority w:val="39"/>
    <w:rsid w:val="00982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829F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2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29F8"/>
    <w:rPr>
      <w:rFonts w:ascii="Times New Roman" w:eastAsia="Calibri" w:hAnsi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776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dcterms:created xsi:type="dcterms:W3CDTF">2022-01-05T11:55:00Z</dcterms:created>
  <dcterms:modified xsi:type="dcterms:W3CDTF">2022-01-24T07:01:00Z</dcterms:modified>
</cp:coreProperties>
</file>